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C09A" w14:textId="77777777" w:rsidR="00897278" w:rsidRDefault="00841B3C">
      <w:pPr>
        <w:rPr>
          <w:rFonts w:ascii="Arial" w:hAnsi="Arial" w:cs="Arial"/>
          <w:b/>
          <w:bCs/>
          <w:u w:val="single"/>
        </w:rPr>
      </w:pPr>
      <w:r w:rsidRPr="00841B3C">
        <w:rPr>
          <w:rFonts w:ascii="Arial" w:hAnsi="Arial" w:cs="Arial"/>
          <w:b/>
          <w:bCs/>
          <w:u w:val="single"/>
        </w:rPr>
        <w:t>Dosing Guidance</w:t>
      </w:r>
    </w:p>
    <w:p w14:paraId="03555552" w14:textId="3FF498B2" w:rsidR="00841B3C" w:rsidRDefault="00841B3C">
      <w:pPr>
        <w:rPr>
          <w:rFonts w:ascii="Arial" w:hAnsi="Arial" w:cs="Arial"/>
          <w:b/>
          <w:bCs/>
        </w:rPr>
      </w:pPr>
      <w:r w:rsidRPr="00841B3C">
        <w:rPr>
          <w:rFonts w:ascii="Arial" w:hAnsi="Arial" w:cs="Arial"/>
          <w:b/>
          <w:bCs/>
        </w:rPr>
        <w:t>BIF (Paper Algorithm)</w:t>
      </w:r>
    </w:p>
    <w:p w14:paraId="4F1B441D" w14:textId="6FF5F4E7" w:rsidR="00214DA7" w:rsidRPr="00841B3C" w:rsidRDefault="00214DA7" w:rsidP="00897278">
      <w:pPr>
        <w:ind w:firstLine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lang w:val="en-GB"/>
        </w:rPr>
        <w:t xml:space="preserve">The initial dose of BIF was calculated based on the previously used basal insulin dose and the </w:t>
      </w:r>
      <w:r w:rsidRPr="0002029C">
        <w:rPr>
          <w:rFonts w:ascii="Arial" w:hAnsi="Arial" w:cs="Arial"/>
          <w:lang w:val="en-GB"/>
        </w:rPr>
        <w:t>baseline fasting glucose</w:t>
      </w:r>
      <w:r>
        <w:rPr>
          <w:rFonts w:ascii="Arial" w:hAnsi="Arial" w:cs="Arial"/>
          <w:lang w:val="en-GB"/>
        </w:rPr>
        <w:t xml:space="preserve"> with a target of 80-100 mg/dL for the first dose of BIF. A dose conversion of 7 IU of daily basal insulin (=49 IU weekly) per mg of BIF weekly was used to transform the previously used daily basal insulin dose into a BIF mg dose. This dose was then adjusted based on fasting glucose and then multiplied by 3 to obtain the one-time loading dose for BIF. The conversion factor was chosen based on data from previous Phase 1 studies and an interim analysis of another Phase 2 study in patients with T2D previously treated with basal insulin </w:t>
      </w:r>
      <w:r>
        <w:rPr>
          <w:rFonts w:ascii="Arial" w:hAnsi="Arial" w:cs="Arial"/>
          <w:noProof/>
          <w:lang w:val="en-GB"/>
        </w:rPr>
        <w:t>(</w:t>
      </w:r>
      <w:r w:rsidR="00A67095" w:rsidRPr="00A67095">
        <w:rPr>
          <w:rFonts w:ascii="Arial" w:hAnsi="Arial" w:cs="Arial"/>
          <w:noProof/>
          <w:lang w:val="en-GB"/>
        </w:rPr>
        <w:t xml:space="preserve">Frias J, </w:t>
      </w:r>
      <w:r w:rsidR="00A67095">
        <w:rPr>
          <w:rFonts w:ascii="Arial" w:hAnsi="Arial" w:cs="Arial"/>
          <w:noProof/>
          <w:lang w:val="en-GB"/>
        </w:rPr>
        <w:t xml:space="preserve">et al. </w:t>
      </w:r>
      <w:r w:rsidR="00A67095" w:rsidRPr="00A67095">
        <w:rPr>
          <w:rFonts w:ascii="Arial" w:hAnsi="Arial" w:cs="Arial"/>
          <w:noProof/>
          <w:lang w:val="en-GB"/>
        </w:rPr>
        <w:t>Lancet Diabetes Endocrinol 2023.</w:t>
      </w:r>
      <w:r>
        <w:rPr>
          <w:rFonts w:ascii="Arial" w:hAnsi="Arial" w:cs="Arial"/>
          <w:noProof/>
          <w:lang w:val="en-GB"/>
        </w:rPr>
        <w:t>)</w:t>
      </w:r>
      <w:r>
        <w:rPr>
          <w:rFonts w:ascii="Arial" w:hAnsi="Arial" w:cs="Arial"/>
          <w:lang w:val="en-GB"/>
        </w:rPr>
        <w:t xml:space="preserve"> as well as PK-PD modelling using virtual patients.</w:t>
      </w:r>
    </w:p>
    <w:p w14:paraId="4E5BCC8D" w14:textId="7D0934CB" w:rsidR="00841B3C" w:rsidRDefault="00841B3C" w:rsidP="00841B3C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NewRoman" w:hAnsi="Arial" w:cs="Arial"/>
        </w:rPr>
      </w:pPr>
      <w:r w:rsidRPr="00841B3C">
        <w:rPr>
          <w:rFonts w:ascii="Arial" w:eastAsia="TimesNewRoman" w:hAnsi="Arial" w:cs="Arial"/>
        </w:rPr>
        <w:t xml:space="preserve">The treat-to-target </w:t>
      </w:r>
      <w:r>
        <w:rPr>
          <w:rFonts w:ascii="Arial" w:eastAsia="TimesNewRoman" w:hAnsi="Arial" w:cs="Arial"/>
        </w:rPr>
        <w:t>fasting glucose</w:t>
      </w:r>
      <w:r w:rsidRPr="00841B3C">
        <w:rPr>
          <w:rFonts w:ascii="Arial" w:eastAsia="TimesNewRoman" w:hAnsi="Arial" w:cs="Arial"/>
        </w:rPr>
        <w:t xml:space="preserve"> in the algorithm </w:t>
      </w:r>
      <w:r>
        <w:rPr>
          <w:rFonts w:ascii="Arial" w:eastAsia="TimesNewRoman" w:hAnsi="Arial" w:cs="Arial"/>
        </w:rPr>
        <w:t>wa</w:t>
      </w:r>
      <w:r w:rsidRPr="00841B3C">
        <w:rPr>
          <w:rFonts w:ascii="Arial" w:eastAsia="TimesNewRoman" w:hAnsi="Arial" w:cs="Arial"/>
        </w:rPr>
        <w:t xml:space="preserve">s </w:t>
      </w:r>
      <w:r w:rsidR="00407D89">
        <w:rPr>
          <w:rFonts w:ascii="Arial" w:eastAsia="TimesNewRoman" w:hAnsi="Arial" w:cs="Arial"/>
        </w:rPr>
        <w:t>80-</w:t>
      </w:r>
      <w:r w:rsidRPr="00841B3C">
        <w:rPr>
          <w:rFonts w:ascii="Arial" w:eastAsia="TimesNewRoman" w:hAnsi="Arial" w:cs="Arial"/>
        </w:rPr>
        <w:t>100 mg/dL (</w:t>
      </w:r>
      <w:r w:rsidR="00407D89">
        <w:rPr>
          <w:rFonts w:ascii="Arial" w:eastAsia="TimesNewRoman" w:hAnsi="Arial" w:cs="Arial"/>
        </w:rPr>
        <w:t xml:space="preserve">4.4 to </w:t>
      </w:r>
      <w:r w:rsidRPr="00841B3C">
        <w:rPr>
          <w:rFonts w:ascii="Arial" w:eastAsia="TimesNewRoman" w:hAnsi="Arial" w:cs="Arial"/>
        </w:rPr>
        <w:t xml:space="preserve">&lt;5.6 mmol/L). </w:t>
      </w:r>
      <w:r>
        <w:rPr>
          <w:rFonts w:ascii="Arial" w:eastAsia="TimesNewRoman" w:hAnsi="Arial" w:cs="Arial"/>
        </w:rPr>
        <w:t>BIF</w:t>
      </w:r>
      <w:r w:rsidRPr="00841B3C">
        <w:rPr>
          <w:rFonts w:ascii="Arial" w:eastAsia="TimesNewRoman" w:hAnsi="Arial" w:cs="Arial"/>
        </w:rPr>
        <w:t xml:space="preserve"> dose</w:t>
      </w:r>
      <w:r>
        <w:rPr>
          <w:rFonts w:ascii="Arial" w:eastAsia="TimesNewRoman" w:hAnsi="Arial" w:cs="Arial"/>
        </w:rPr>
        <w:t xml:space="preserve"> </w:t>
      </w:r>
      <w:r w:rsidRPr="00841B3C">
        <w:rPr>
          <w:rFonts w:ascii="Arial" w:eastAsia="TimesNewRoman" w:hAnsi="Arial" w:cs="Arial"/>
        </w:rPr>
        <w:t xml:space="preserve">adjustments </w:t>
      </w:r>
      <w:r>
        <w:rPr>
          <w:rFonts w:ascii="Arial" w:eastAsia="TimesNewRoman" w:hAnsi="Arial" w:cs="Arial"/>
        </w:rPr>
        <w:t>were</w:t>
      </w:r>
      <w:r w:rsidRPr="00841B3C">
        <w:rPr>
          <w:rFonts w:ascii="Arial" w:eastAsia="TimesNewRoman" w:hAnsi="Arial" w:cs="Arial"/>
        </w:rPr>
        <w:t xml:space="preserve"> determined based on the median of the </w:t>
      </w:r>
      <w:r w:rsidR="00EB1D5D">
        <w:rPr>
          <w:rFonts w:ascii="Arial" w:eastAsia="TimesNewRoman" w:hAnsi="Arial" w:cs="Arial"/>
        </w:rPr>
        <w:t xml:space="preserve">self-monitored </w:t>
      </w:r>
      <w:r>
        <w:rPr>
          <w:rFonts w:ascii="Arial" w:eastAsia="TimesNewRoman" w:hAnsi="Arial" w:cs="Arial"/>
        </w:rPr>
        <w:t>fasting glucose</w:t>
      </w:r>
      <w:r w:rsidRPr="00841B3C">
        <w:rPr>
          <w:rFonts w:ascii="Arial" w:eastAsia="TimesNewRoman" w:hAnsi="Arial" w:cs="Arial"/>
        </w:rPr>
        <w:t xml:space="preserve"> from </w:t>
      </w:r>
      <w:r w:rsidR="00EB1D5D">
        <w:rPr>
          <w:rFonts w:ascii="Arial" w:eastAsia="TimesNewRoman" w:hAnsi="Arial" w:cs="Arial"/>
        </w:rPr>
        <w:t>the CGM device (</w:t>
      </w:r>
      <w:r w:rsidRPr="00841B3C">
        <w:rPr>
          <w:rFonts w:ascii="Arial" w:eastAsia="TimesNewRoman" w:hAnsi="Arial" w:cs="Arial"/>
        </w:rPr>
        <w:t>SMG</w:t>
      </w:r>
      <w:r w:rsidR="00EB1D5D">
        <w:rPr>
          <w:rFonts w:ascii="Arial" w:eastAsia="TimesNewRoman" w:hAnsi="Arial" w:cs="Arial"/>
        </w:rPr>
        <w:t>)</w:t>
      </w:r>
      <w:r w:rsidRPr="00841B3C">
        <w:rPr>
          <w:rFonts w:ascii="Arial" w:eastAsia="TimesNewRoman" w:hAnsi="Arial" w:cs="Arial"/>
        </w:rPr>
        <w:t xml:space="preserve"> of at least 3</w:t>
      </w:r>
      <w:r>
        <w:rPr>
          <w:rFonts w:ascii="Arial" w:eastAsia="TimesNewRoman" w:hAnsi="Arial" w:cs="Arial"/>
        </w:rPr>
        <w:t xml:space="preserve"> </w:t>
      </w:r>
      <w:r w:rsidRPr="00841B3C">
        <w:rPr>
          <w:rFonts w:ascii="Arial" w:eastAsia="TimesNewRoman" w:hAnsi="Arial" w:cs="Arial"/>
        </w:rPr>
        <w:t>days (up to 7 days) obtained in the previous week leading up to the visit.</w:t>
      </w:r>
      <w:r>
        <w:rPr>
          <w:rFonts w:ascii="Arial" w:eastAsia="TimesNewRoman" w:hAnsi="Arial" w:cs="Arial"/>
        </w:rPr>
        <w:t xml:space="preserve"> </w:t>
      </w:r>
      <w:r w:rsidRPr="00841B3C">
        <w:rPr>
          <w:rFonts w:ascii="Arial" w:eastAsia="TimesNewRoman" w:hAnsi="Arial" w:cs="Arial"/>
        </w:rPr>
        <w:t xml:space="preserve">The </w:t>
      </w:r>
      <w:r>
        <w:rPr>
          <w:rFonts w:ascii="Arial" w:eastAsia="TimesNewRoman" w:hAnsi="Arial" w:cs="Arial"/>
        </w:rPr>
        <w:t>BIF</w:t>
      </w:r>
      <w:r w:rsidRPr="00841B3C">
        <w:rPr>
          <w:rFonts w:ascii="Arial" w:eastAsia="TimesNewRoman" w:hAnsi="Arial" w:cs="Arial"/>
        </w:rPr>
        <w:t xml:space="preserve"> dose </w:t>
      </w:r>
      <w:r>
        <w:rPr>
          <w:rFonts w:ascii="Arial" w:eastAsia="TimesNewRoman" w:hAnsi="Arial" w:cs="Arial"/>
        </w:rPr>
        <w:t>was</w:t>
      </w:r>
      <w:r w:rsidRPr="00841B3C">
        <w:rPr>
          <w:rFonts w:ascii="Arial" w:eastAsia="TimesNewRoman" w:hAnsi="Arial" w:cs="Arial"/>
        </w:rPr>
        <w:t xml:space="preserve"> not increased if any SMG reading was documented at</w:t>
      </w:r>
      <w:r>
        <w:rPr>
          <w:rFonts w:ascii="Arial" w:eastAsia="TimesNewRoman" w:hAnsi="Arial" w:cs="Arial"/>
        </w:rPr>
        <w:t xml:space="preserve"> </w:t>
      </w:r>
      <w:r w:rsidRPr="00841B3C">
        <w:rPr>
          <w:rFonts w:ascii="Arial" w:eastAsia="TimesNewRoman" w:hAnsi="Arial" w:cs="Arial"/>
        </w:rPr>
        <w:t>≤70 mg/dL (&lt;3.9 mmol/L) at any time in the preceding week. Dose decreases of 0.5 mg</w:t>
      </w:r>
      <w:r>
        <w:rPr>
          <w:rFonts w:ascii="Arial" w:eastAsia="TimesNewRoman" w:hAnsi="Arial" w:cs="Arial"/>
        </w:rPr>
        <w:t xml:space="preserve"> </w:t>
      </w:r>
      <w:r w:rsidRPr="00841B3C">
        <w:rPr>
          <w:rFonts w:ascii="Arial" w:eastAsia="TimesNewRoman" w:hAnsi="Arial" w:cs="Arial"/>
        </w:rPr>
        <w:t xml:space="preserve">adjustment </w:t>
      </w:r>
      <w:r>
        <w:rPr>
          <w:rFonts w:ascii="Arial" w:eastAsia="TimesNewRoman" w:hAnsi="Arial" w:cs="Arial"/>
        </w:rPr>
        <w:t>was</w:t>
      </w:r>
      <w:r w:rsidRPr="00841B3C">
        <w:rPr>
          <w:rFonts w:ascii="Arial" w:eastAsia="TimesNewRoman" w:hAnsi="Arial" w:cs="Arial"/>
        </w:rPr>
        <w:t xml:space="preserve"> permitted if multiple episodes of hypoglycemia with SMG</w:t>
      </w:r>
      <w:r>
        <w:rPr>
          <w:rFonts w:ascii="Arial" w:eastAsia="TimesNewRoman" w:hAnsi="Arial" w:cs="Arial"/>
        </w:rPr>
        <w:t xml:space="preserve"> </w:t>
      </w:r>
      <w:r w:rsidRPr="00841B3C">
        <w:rPr>
          <w:rFonts w:ascii="Arial" w:eastAsia="TimesNewRoman" w:hAnsi="Arial" w:cs="Arial"/>
        </w:rPr>
        <w:t>≤70 mg/dL (&lt;3.9 mmol/L) were recorded, or dose decrease of 1 mg if severe</w:t>
      </w:r>
      <w:r>
        <w:rPr>
          <w:rFonts w:ascii="Arial" w:eastAsia="TimesNewRoman" w:hAnsi="Arial" w:cs="Arial"/>
        </w:rPr>
        <w:t xml:space="preserve"> </w:t>
      </w:r>
      <w:r w:rsidRPr="00841B3C">
        <w:rPr>
          <w:rFonts w:ascii="Arial" w:eastAsia="TimesNewRoman" w:hAnsi="Arial" w:cs="Arial"/>
        </w:rPr>
        <w:t>hypoglycemia (requiring assistance) occurred, or if any SMG was documented at ≤54</w:t>
      </w:r>
      <w:r>
        <w:rPr>
          <w:rFonts w:ascii="Arial" w:eastAsia="TimesNewRoman" w:hAnsi="Arial" w:cs="Arial"/>
        </w:rPr>
        <w:t xml:space="preserve"> </w:t>
      </w:r>
      <w:r w:rsidRPr="00841B3C">
        <w:rPr>
          <w:rFonts w:ascii="Arial" w:eastAsia="TimesNewRoman" w:hAnsi="Arial" w:cs="Arial"/>
        </w:rPr>
        <w:t>mg/dL (≤3.0 mmol/L) in the preceding week.</w:t>
      </w:r>
    </w:p>
    <w:p w14:paraId="12CD5B32" w14:textId="77777777" w:rsidR="003A535E" w:rsidRDefault="003A535E" w:rsidP="003A535E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NewRoman" w:hAnsi="Arial" w:cs="Arial"/>
        </w:rPr>
      </w:pPr>
    </w:p>
    <w:p w14:paraId="6147C584" w14:textId="4967C897" w:rsidR="003A535E" w:rsidRPr="003A535E" w:rsidRDefault="003A535E" w:rsidP="003A535E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NewRoman" w:hAnsi="Arial" w:cs="Arial"/>
        </w:rPr>
      </w:pPr>
      <w:r w:rsidRPr="003A535E">
        <w:rPr>
          <w:rFonts w:ascii="Arial" w:eastAsia="TimesNewRoman" w:hAnsi="Arial" w:cs="Arial"/>
        </w:rPr>
        <w:t xml:space="preserve">The starting </w:t>
      </w:r>
      <w:r>
        <w:rPr>
          <w:rFonts w:ascii="Arial" w:eastAsia="TimesNewRoman" w:hAnsi="Arial" w:cs="Arial"/>
        </w:rPr>
        <w:t>BIF</w:t>
      </w:r>
      <w:r w:rsidRPr="003A535E">
        <w:rPr>
          <w:rFonts w:ascii="Arial" w:eastAsia="TimesNewRoman" w:hAnsi="Arial" w:cs="Arial"/>
        </w:rPr>
        <w:t xml:space="preserve"> dose </w:t>
      </w:r>
      <w:r>
        <w:rPr>
          <w:rFonts w:ascii="Arial" w:eastAsia="TimesNewRoman" w:hAnsi="Arial" w:cs="Arial"/>
        </w:rPr>
        <w:t>wa</w:t>
      </w:r>
      <w:r w:rsidRPr="003A535E">
        <w:rPr>
          <w:rFonts w:ascii="Arial" w:eastAsia="TimesNewRoman" w:hAnsi="Arial" w:cs="Arial"/>
        </w:rPr>
        <w:t>s determined based on both the prior basal insulin dose and</w:t>
      </w:r>
    </w:p>
    <w:p w14:paraId="2B9DAC53" w14:textId="28EE4B40" w:rsidR="003A535E" w:rsidRPr="003A535E" w:rsidRDefault="003A535E" w:rsidP="002D5B72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3A535E">
        <w:rPr>
          <w:rFonts w:ascii="Arial" w:eastAsia="TimesNewRoman" w:hAnsi="Arial" w:cs="Arial"/>
        </w:rPr>
        <w:t>baseline fasting glucose. Participants enter</w:t>
      </w:r>
      <w:r w:rsidR="00894BDB">
        <w:rPr>
          <w:rFonts w:ascii="Arial" w:eastAsia="TimesNewRoman" w:hAnsi="Arial" w:cs="Arial"/>
        </w:rPr>
        <w:t>ed</w:t>
      </w:r>
      <w:r w:rsidRPr="003A535E">
        <w:rPr>
          <w:rFonts w:ascii="Arial" w:eastAsia="TimesNewRoman" w:hAnsi="Arial" w:cs="Arial"/>
        </w:rPr>
        <w:t xml:space="preserve"> the study using insulin glargine, detemir, or</w:t>
      </w:r>
      <w:r w:rsidR="00894BDB">
        <w:rPr>
          <w:rFonts w:ascii="Arial" w:eastAsia="TimesNewRoman" w:hAnsi="Arial" w:cs="Arial"/>
        </w:rPr>
        <w:t xml:space="preserve"> </w:t>
      </w:r>
      <w:r w:rsidRPr="003A535E">
        <w:rPr>
          <w:rFonts w:ascii="Arial" w:eastAsia="TimesNewRoman" w:hAnsi="Arial" w:cs="Arial"/>
        </w:rPr>
        <w:t xml:space="preserve">degludec. Consistent with product labeling these insulins </w:t>
      </w:r>
      <w:r w:rsidR="00894BDB">
        <w:rPr>
          <w:rFonts w:ascii="Arial" w:eastAsia="TimesNewRoman" w:hAnsi="Arial" w:cs="Arial"/>
        </w:rPr>
        <w:t>were</w:t>
      </w:r>
      <w:r w:rsidRPr="003A535E">
        <w:rPr>
          <w:rFonts w:ascii="Arial" w:eastAsia="TimesNewRoman" w:hAnsi="Arial" w:cs="Arial"/>
        </w:rPr>
        <w:t xml:space="preserve"> transitioned on a unit-for-unit</w:t>
      </w:r>
      <w:r w:rsidR="00894BDB">
        <w:rPr>
          <w:rFonts w:ascii="Arial" w:eastAsia="TimesNewRoman" w:hAnsi="Arial" w:cs="Arial"/>
        </w:rPr>
        <w:t xml:space="preserve"> </w:t>
      </w:r>
      <w:r w:rsidRPr="003A535E">
        <w:rPr>
          <w:rFonts w:ascii="Arial" w:eastAsia="TimesNewRoman" w:hAnsi="Arial" w:cs="Arial"/>
        </w:rPr>
        <w:t xml:space="preserve">basis and for the purposes of this protocol </w:t>
      </w:r>
      <w:r w:rsidR="00894BDB">
        <w:rPr>
          <w:rFonts w:ascii="Arial" w:eastAsia="TimesNewRoman" w:hAnsi="Arial" w:cs="Arial"/>
        </w:rPr>
        <w:t>were</w:t>
      </w:r>
      <w:r w:rsidRPr="003A535E">
        <w:rPr>
          <w:rFonts w:ascii="Arial" w:eastAsia="TimesNewRoman" w:hAnsi="Arial" w:cs="Arial"/>
        </w:rPr>
        <w:t xml:space="preserve"> considered equivalent. Directions are</w:t>
      </w:r>
      <w:r w:rsidR="007578B5">
        <w:rPr>
          <w:rFonts w:ascii="Arial" w:eastAsia="TimesNewRoman" w:hAnsi="Arial" w:cs="Arial"/>
        </w:rPr>
        <w:t xml:space="preserve"> </w:t>
      </w:r>
      <w:r w:rsidRPr="003A535E">
        <w:rPr>
          <w:rFonts w:ascii="Arial" w:eastAsia="TimesNewRoman" w:hAnsi="Arial" w:cs="Arial"/>
        </w:rPr>
        <w:t xml:space="preserve">provided below to convert current basal insulin dose (in Units, U) to the dose of </w:t>
      </w:r>
      <w:r w:rsidR="002D5B72">
        <w:rPr>
          <w:rFonts w:ascii="Arial" w:eastAsia="TimesNewRoman" w:hAnsi="Arial" w:cs="Arial"/>
        </w:rPr>
        <w:t>BIF</w:t>
      </w:r>
      <w:r w:rsidRPr="003A535E">
        <w:rPr>
          <w:rFonts w:ascii="Arial" w:eastAsia="TimesNewRoman" w:hAnsi="Arial" w:cs="Arial"/>
        </w:rPr>
        <w:t xml:space="preserve"> (in</w:t>
      </w:r>
      <w:r w:rsidR="002D5B72">
        <w:rPr>
          <w:rFonts w:ascii="Arial" w:eastAsia="TimesNewRoman" w:hAnsi="Arial" w:cs="Arial"/>
        </w:rPr>
        <w:t xml:space="preserve"> </w:t>
      </w:r>
      <w:r w:rsidRPr="003A535E">
        <w:rPr>
          <w:rFonts w:ascii="Arial" w:eastAsia="TimesNewRoman" w:hAnsi="Arial" w:cs="Arial"/>
        </w:rPr>
        <w:t>mg) for determination of the starting weekly dose and for dose adjustments at subsequent Visits.</w:t>
      </w:r>
    </w:p>
    <w:p w14:paraId="4947EB96" w14:textId="77777777" w:rsidR="00841B3C" w:rsidRPr="00841B3C" w:rsidRDefault="00841B3C" w:rsidP="00841B3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</w:rPr>
      </w:pPr>
    </w:p>
    <w:p w14:paraId="20F5FD1D" w14:textId="4D483627" w:rsidR="00841B3C" w:rsidRDefault="00841B3C" w:rsidP="00841B3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</w:rPr>
      </w:pPr>
      <w:r w:rsidRPr="00841B3C">
        <w:rPr>
          <w:rFonts w:ascii="Arial" w:eastAsia="TimesNewRoman" w:hAnsi="Arial" w:cs="Arial"/>
          <w:i/>
          <w:iCs/>
        </w:rPr>
        <w:t>Week 0, Visit 3 (Randomization Visit):</w:t>
      </w:r>
    </w:p>
    <w:p w14:paraId="43DE167B" w14:textId="77777777" w:rsidR="00ED042C" w:rsidRPr="0014111C" w:rsidRDefault="00ED042C" w:rsidP="00ED042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14111C">
        <w:rPr>
          <w:rFonts w:ascii="Arial" w:eastAsia="TimesNewRoman" w:hAnsi="Arial" w:cs="Arial"/>
        </w:rPr>
        <w:t>Obtain the prior daily basal insulin dose of insulin glargine, detemir, or degludec assessed</w:t>
      </w:r>
    </w:p>
    <w:p w14:paraId="66524717" w14:textId="03C8A822" w:rsidR="00ED042C" w:rsidRPr="0014111C" w:rsidRDefault="00ED042C" w:rsidP="00ED042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14111C">
        <w:rPr>
          <w:rFonts w:ascii="Arial" w:eastAsia="TimesNewRoman" w:hAnsi="Arial" w:cs="Arial"/>
        </w:rPr>
        <w:t xml:space="preserve">during the lead-in period. Calculate the “basal insulin equivalent dose” of </w:t>
      </w:r>
      <w:r w:rsidR="0014111C" w:rsidRPr="0014111C">
        <w:rPr>
          <w:rFonts w:ascii="Arial" w:eastAsia="TimesNewRoman" w:hAnsi="Arial" w:cs="Arial"/>
        </w:rPr>
        <w:t xml:space="preserve">BIF </w:t>
      </w:r>
      <w:r w:rsidRPr="0014111C">
        <w:rPr>
          <w:rFonts w:ascii="Arial" w:eastAsia="TimesNewRoman" w:hAnsi="Arial" w:cs="Arial"/>
        </w:rPr>
        <w:t>(in mg) by dividing the total daily dose of basal insulin (U) by the conversion factor of</w:t>
      </w:r>
      <w:r w:rsidR="0014111C" w:rsidRPr="0014111C">
        <w:rPr>
          <w:rFonts w:ascii="Arial" w:eastAsia="TimesNewRoman" w:hAnsi="Arial" w:cs="Arial"/>
        </w:rPr>
        <w:t xml:space="preserve"> </w:t>
      </w:r>
      <w:r w:rsidRPr="0014111C">
        <w:rPr>
          <w:rFonts w:ascii="Arial" w:eastAsia="TimesNewRoman" w:hAnsi="Arial" w:cs="Arial"/>
        </w:rPr>
        <w:t>7 U/mg.</w:t>
      </w:r>
    </w:p>
    <w:p w14:paraId="03F5DCF5" w14:textId="77777777" w:rsidR="000965A3" w:rsidRDefault="000965A3" w:rsidP="000965A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099C33C4" w14:textId="0EFB2ADD" w:rsidR="000965A3" w:rsidRPr="000965A3" w:rsidRDefault="000965A3" w:rsidP="000965A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0965A3">
        <w:rPr>
          <w:rFonts w:ascii="Arial" w:eastAsia="TimesNewRoman" w:hAnsi="Arial" w:cs="Arial"/>
        </w:rPr>
        <w:t xml:space="preserve">The dose of </w:t>
      </w:r>
      <w:r>
        <w:rPr>
          <w:rFonts w:ascii="Arial" w:eastAsia="TimesNewRoman" w:hAnsi="Arial" w:cs="Arial"/>
        </w:rPr>
        <w:t>BIF</w:t>
      </w:r>
      <w:r w:rsidRPr="000965A3">
        <w:rPr>
          <w:rFonts w:ascii="Arial" w:eastAsia="TimesNewRoman" w:hAnsi="Arial" w:cs="Arial"/>
        </w:rPr>
        <w:t xml:space="preserve"> mg is then further adjusted according to median baseline fasting</w:t>
      </w:r>
    </w:p>
    <w:p w14:paraId="487AA2D2" w14:textId="3C1B81A9" w:rsidR="000965A3" w:rsidRPr="000965A3" w:rsidRDefault="000965A3" w:rsidP="000965A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0965A3">
        <w:rPr>
          <w:rFonts w:ascii="Arial" w:eastAsia="TimesNewRoman" w:hAnsi="Arial" w:cs="Arial"/>
        </w:rPr>
        <w:t xml:space="preserve">glucose and the participant’s current basal insulin dose (U) category as shown in </w:t>
      </w:r>
      <w:r>
        <w:rPr>
          <w:rFonts w:ascii="Arial" w:eastAsia="TimesNewRoman" w:hAnsi="Arial" w:cs="Arial"/>
        </w:rPr>
        <w:t>the table below</w:t>
      </w:r>
      <w:r w:rsidRPr="000965A3">
        <w:rPr>
          <w:rFonts w:ascii="Arial" w:eastAsia="TimesNewRoman" w:hAnsi="Arial" w:cs="Arial"/>
        </w:rPr>
        <w:t>.</w:t>
      </w:r>
    </w:p>
    <w:p w14:paraId="7DD978E4" w14:textId="77777777" w:rsidR="00EE0276" w:rsidRDefault="00EE0276" w:rsidP="000965A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42274E86" w14:textId="1FC51699" w:rsidR="00AD4057" w:rsidRDefault="000965A3" w:rsidP="000965A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0965A3">
        <w:rPr>
          <w:rFonts w:ascii="Arial" w:eastAsia="TimesNewRoman" w:hAnsi="Arial" w:cs="Arial"/>
        </w:rPr>
        <w:t xml:space="preserve">The loading dose is obtained by multiplying the starting total </w:t>
      </w:r>
      <w:r w:rsidR="00EE0276">
        <w:rPr>
          <w:rFonts w:ascii="Arial" w:eastAsia="TimesNewRoman" w:hAnsi="Arial" w:cs="Arial"/>
        </w:rPr>
        <w:t>BIF</w:t>
      </w:r>
      <w:r w:rsidRPr="000965A3">
        <w:rPr>
          <w:rFonts w:ascii="Arial" w:eastAsia="TimesNewRoman" w:hAnsi="Arial" w:cs="Arial"/>
        </w:rPr>
        <w:t xml:space="preserve"> weekly dose</w:t>
      </w:r>
      <w:r w:rsidR="00EE0276">
        <w:rPr>
          <w:rFonts w:ascii="Arial" w:eastAsia="TimesNewRoman" w:hAnsi="Arial" w:cs="Arial"/>
        </w:rPr>
        <w:t xml:space="preserve"> </w:t>
      </w:r>
      <w:r w:rsidRPr="000965A3">
        <w:rPr>
          <w:rFonts w:ascii="Arial" w:eastAsia="TimesNewRoman" w:hAnsi="Arial" w:cs="Arial"/>
        </w:rPr>
        <w:t xml:space="preserve">(sum of basal insulin equivalent dose and the dose adjustment from </w:t>
      </w:r>
      <w:r w:rsidR="00EE0276">
        <w:rPr>
          <w:rFonts w:ascii="Arial" w:eastAsia="TimesNewRoman" w:hAnsi="Arial" w:cs="Arial"/>
        </w:rPr>
        <w:t>table below</w:t>
      </w:r>
      <w:r w:rsidRPr="000965A3">
        <w:rPr>
          <w:rFonts w:ascii="Arial" w:eastAsia="TimesNewRoman" w:hAnsi="Arial" w:cs="Arial"/>
        </w:rPr>
        <w:t>) by 3.</w:t>
      </w:r>
    </w:p>
    <w:p w14:paraId="6700B3A9" w14:textId="77777777" w:rsidR="00AD4057" w:rsidRDefault="00AD4057">
      <w:pPr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br w:type="page"/>
      </w:r>
    </w:p>
    <w:p w14:paraId="3A5489C6" w14:textId="330E08B4" w:rsidR="00EE0276" w:rsidRDefault="00EE0276" w:rsidP="000965A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</w:rPr>
      </w:pPr>
    </w:p>
    <w:p w14:paraId="3C70C0B3" w14:textId="56704EDD" w:rsidR="009928BA" w:rsidRDefault="009928BA" w:rsidP="009928BA">
      <w:pPr>
        <w:autoSpaceDE w:val="0"/>
        <w:autoSpaceDN w:val="0"/>
        <w:adjustRightInd w:val="0"/>
        <w:rPr>
          <w:rFonts w:ascii="Arial" w:eastAsia="TimesNewRoman" w:hAnsi="Arial" w:cs="Arial"/>
          <w:i/>
          <w:iCs/>
        </w:rPr>
      </w:pPr>
      <w:r>
        <w:rPr>
          <w:rFonts w:ascii="Arial" w:eastAsia="TimesNewRoman" w:hAnsi="Arial" w:cs="Arial"/>
          <w:b/>
          <w:bCs/>
        </w:rPr>
        <w:t>BIF</w:t>
      </w:r>
      <w:r w:rsidRPr="00335EB3">
        <w:rPr>
          <w:rFonts w:ascii="Arial" w:eastAsia="TimesNewRoman" w:hAnsi="Arial" w:cs="Arial"/>
          <w:b/>
          <w:bCs/>
        </w:rPr>
        <w:t xml:space="preserve"> Dose Adjustment (mg) Using the Median of Baseline</w:t>
      </w:r>
      <w:r>
        <w:rPr>
          <w:rFonts w:ascii="Arial" w:eastAsia="TimesNewRoman" w:hAnsi="Arial" w:cs="Arial"/>
          <w:b/>
          <w:bCs/>
        </w:rPr>
        <w:t xml:space="preserve"> </w:t>
      </w:r>
      <w:r w:rsidRPr="00335EB3">
        <w:rPr>
          <w:rFonts w:ascii="Arial" w:eastAsia="TimesNewRoman" w:hAnsi="Arial" w:cs="Arial"/>
          <w:b/>
          <w:bCs/>
        </w:rPr>
        <w:t>Fasting Glucose and Prior Basal Insulin Dose (International Units, U)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129"/>
        <w:gridCol w:w="2047"/>
        <w:gridCol w:w="1489"/>
        <w:gridCol w:w="1560"/>
        <w:gridCol w:w="2490"/>
      </w:tblGrid>
      <w:tr w:rsidR="00841B3C" w14:paraId="28C8D9CF" w14:textId="77777777" w:rsidTr="00E2047F">
        <w:trPr>
          <w:trHeight w:val="571"/>
        </w:trPr>
        <w:tc>
          <w:tcPr>
            <w:tcW w:w="2129" w:type="dxa"/>
            <w:vMerge w:val="restart"/>
          </w:tcPr>
          <w:p w14:paraId="28353060" w14:textId="63D3E521" w:rsidR="00841B3C" w:rsidRPr="00841B3C" w:rsidRDefault="00841B3C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bCs/>
              </w:rPr>
            </w:pPr>
            <w:r>
              <w:rPr>
                <w:rFonts w:ascii="Arial" w:eastAsia="TimesNewRoman" w:hAnsi="Arial" w:cs="Arial"/>
                <w:b/>
                <w:bCs/>
              </w:rPr>
              <w:t>Median Baseline Fasting Glucose (mg/dL)</w:t>
            </w:r>
          </w:p>
        </w:tc>
        <w:tc>
          <w:tcPr>
            <w:tcW w:w="2047" w:type="dxa"/>
            <w:vMerge w:val="restart"/>
          </w:tcPr>
          <w:p w14:paraId="1B8D8AC6" w14:textId="78F061AD" w:rsidR="00841B3C" w:rsidRPr="00841B3C" w:rsidRDefault="00841B3C" w:rsidP="00C032EB">
            <w:pPr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</w:rPr>
            </w:pPr>
            <w:r w:rsidRPr="00841B3C">
              <w:rPr>
                <w:rFonts w:ascii="Arial" w:eastAsia="TimesNewRoman,Bold" w:hAnsi="Arial" w:cs="Arial"/>
                <w:b/>
                <w:bCs/>
              </w:rPr>
              <w:t>Median Baseline</w:t>
            </w:r>
            <w:r w:rsidR="00C032EB">
              <w:rPr>
                <w:rFonts w:ascii="Arial" w:eastAsia="TimesNewRoman,Bold" w:hAnsi="Arial" w:cs="Arial"/>
                <w:b/>
                <w:bCs/>
              </w:rPr>
              <w:t xml:space="preserve"> </w:t>
            </w:r>
            <w:r w:rsidRPr="00841B3C">
              <w:rPr>
                <w:rFonts w:ascii="Arial" w:eastAsia="TimesNewRoman,Bold" w:hAnsi="Arial" w:cs="Arial"/>
                <w:b/>
                <w:bCs/>
              </w:rPr>
              <w:t>Fasting Glucose</w:t>
            </w:r>
            <w:r w:rsidRPr="00E2047F">
              <w:rPr>
                <w:rFonts w:ascii="Arial" w:eastAsia="TimesNewRoman,Bold" w:hAnsi="Arial" w:cs="Arial"/>
                <w:b/>
                <w:bCs/>
                <w:vertAlign w:val="superscript"/>
              </w:rPr>
              <w:t>b</w:t>
            </w:r>
            <w:r w:rsidR="00C032EB">
              <w:rPr>
                <w:rFonts w:ascii="Arial" w:eastAsia="TimesNewRoman,Bold" w:hAnsi="Arial" w:cs="Arial"/>
                <w:b/>
                <w:bCs/>
                <w:vertAlign w:val="superscript"/>
              </w:rPr>
              <w:t xml:space="preserve"> </w:t>
            </w:r>
            <w:r w:rsidRPr="00841B3C">
              <w:rPr>
                <w:rFonts w:ascii="Arial" w:eastAsia="TimesNewRoman,Bold" w:hAnsi="Arial" w:cs="Arial"/>
                <w:b/>
                <w:bCs/>
              </w:rPr>
              <w:t>(mmol/L)</w:t>
            </w:r>
          </w:p>
        </w:tc>
        <w:tc>
          <w:tcPr>
            <w:tcW w:w="5539" w:type="dxa"/>
            <w:gridSpan w:val="3"/>
          </w:tcPr>
          <w:p w14:paraId="7F3ED6F1" w14:textId="7A4CFEDC" w:rsidR="00841B3C" w:rsidRPr="000241BF" w:rsidRDefault="000241BF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vertAlign w:val="superscript"/>
              </w:rPr>
            </w:pPr>
            <w:r>
              <w:rPr>
                <w:rFonts w:ascii="Arial" w:eastAsia="TimesNewRoman,Bold" w:hAnsi="Arial" w:cs="Arial"/>
                <w:b/>
                <w:bCs/>
              </w:rPr>
              <w:t>BIF Dose Adjustment (mg)</w:t>
            </w:r>
            <w:r>
              <w:rPr>
                <w:rFonts w:ascii="Arial" w:eastAsia="TimesNewRoman,Bold" w:hAnsi="Arial" w:cs="Arial"/>
                <w:b/>
                <w:bCs/>
                <w:vertAlign w:val="superscript"/>
              </w:rPr>
              <w:t>a</w:t>
            </w:r>
          </w:p>
        </w:tc>
      </w:tr>
      <w:tr w:rsidR="00EA35E6" w14:paraId="17197B07" w14:textId="77777777" w:rsidTr="00C032EB">
        <w:trPr>
          <w:trHeight w:val="570"/>
        </w:trPr>
        <w:tc>
          <w:tcPr>
            <w:tcW w:w="2129" w:type="dxa"/>
            <w:vMerge/>
          </w:tcPr>
          <w:p w14:paraId="21422791" w14:textId="77777777" w:rsidR="00EA35E6" w:rsidRDefault="00EA35E6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bCs/>
              </w:rPr>
            </w:pPr>
          </w:p>
        </w:tc>
        <w:tc>
          <w:tcPr>
            <w:tcW w:w="2047" w:type="dxa"/>
            <w:vMerge/>
          </w:tcPr>
          <w:p w14:paraId="01F4AA64" w14:textId="77777777" w:rsidR="00EA35E6" w:rsidRPr="00841B3C" w:rsidRDefault="00EA35E6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</w:rPr>
            </w:pPr>
          </w:p>
        </w:tc>
        <w:tc>
          <w:tcPr>
            <w:tcW w:w="1489" w:type="dxa"/>
          </w:tcPr>
          <w:p w14:paraId="22396119" w14:textId="21A92E46" w:rsidR="00EA35E6" w:rsidRDefault="00EA35E6" w:rsidP="00C032EB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iCs/>
              </w:rPr>
            </w:pPr>
            <w:r>
              <w:rPr>
                <w:rFonts w:ascii="Arial" w:eastAsia="TimesNewRoman,Bold" w:hAnsi="Arial" w:cs="Arial"/>
                <w:b/>
                <w:bCs/>
              </w:rPr>
              <w:t>Basal Insulin Dose</w:t>
            </w:r>
            <w:r w:rsidR="00C032EB">
              <w:rPr>
                <w:rFonts w:ascii="Arial" w:eastAsia="TimesNewRoman,Bold" w:hAnsi="Arial" w:cs="Arial"/>
                <w:b/>
                <w:bCs/>
              </w:rPr>
              <w:t xml:space="preserve"> </w:t>
            </w:r>
            <w:r w:rsidRPr="00841B3C">
              <w:rPr>
                <w:rFonts w:ascii="Arial" w:eastAsia="TimesNewRoman,Bold" w:hAnsi="Arial" w:cs="Arial"/>
                <w:b/>
                <w:bCs/>
              </w:rPr>
              <w:t>≤</w:t>
            </w:r>
            <w:r>
              <w:rPr>
                <w:rFonts w:ascii="Arial" w:eastAsia="TimesNewRoman,Bold" w:hAnsi="Arial" w:cs="Arial"/>
                <w:b/>
                <w:bCs/>
              </w:rPr>
              <w:t>15 U</w:t>
            </w:r>
          </w:p>
        </w:tc>
        <w:tc>
          <w:tcPr>
            <w:tcW w:w="1560" w:type="dxa"/>
          </w:tcPr>
          <w:p w14:paraId="0E4EBA5A" w14:textId="7B684E90" w:rsidR="00EA35E6" w:rsidRDefault="00EA35E6" w:rsidP="00C032EB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iCs/>
              </w:rPr>
            </w:pPr>
            <w:r>
              <w:rPr>
                <w:rFonts w:ascii="Arial" w:eastAsia="TimesNewRoman,Bold" w:hAnsi="Arial" w:cs="Arial"/>
                <w:b/>
                <w:bCs/>
              </w:rPr>
              <w:t>Basal Insulin Dose</w:t>
            </w:r>
            <w:r w:rsidR="00C032EB">
              <w:rPr>
                <w:rFonts w:ascii="Arial" w:eastAsia="TimesNewRoman,Bold" w:hAnsi="Arial" w:cs="Arial"/>
                <w:b/>
                <w:bCs/>
              </w:rPr>
              <w:t xml:space="preserve"> </w:t>
            </w:r>
            <w:r>
              <w:rPr>
                <w:rFonts w:ascii="Arial" w:eastAsia="TimesNewRoman,Bold" w:hAnsi="Arial" w:cs="Arial"/>
                <w:b/>
                <w:bCs/>
              </w:rPr>
              <w:t>16 – 30 U</w:t>
            </w:r>
          </w:p>
        </w:tc>
        <w:tc>
          <w:tcPr>
            <w:tcW w:w="2490" w:type="dxa"/>
          </w:tcPr>
          <w:p w14:paraId="7AF7FFB3" w14:textId="4E9FC977" w:rsidR="00EA35E6" w:rsidRDefault="00EA35E6" w:rsidP="00C032EB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iCs/>
              </w:rPr>
            </w:pPr>
            <w:r>
              <w:rPr>
                <w:rFonts w:ascii="Arial" w:eastAsia="TimesNewRoman,Bold" w:hAnsi="Arial" w:cs="Arial"/>
                <w:b/>
                <w:bCs/>
              </w:rPr>
              <w:t>Basal Insulin Dose</w:t>
            </w:r>
            <w:r w:rsidR="00C032EB">
              <w:rPr>
                <w:rFonts w:ascii="Arial" w:eastAsia="TimesNewRoman,Bold" w:hAnsi="Arial" w:cs="Arial"/>
                <w:b/>
                <w:bCs/>
              </w:rPr>
              <w:t xml:space="preserve"> </w:t>
            </w:r>
            <w:r>
              <w:rPr>
                <w:rFonts w:ascii="Arial" w:eastAsia="TimesNewRoman,Bold" w:hAnsi="Arial" w:cs="Arial"/>
                <w:b/>
                <w:bCs/>
              </w:rPr>
              <w:t>&gt;30 U</w:t>
            </w:r>
          </w:p>
        </w:tc>
      </w:tr>
      <w:tr w:rsidR="00EA35E6" w14:paraId="5337F364" w14:textId="77777777" w:rsidTr="00C032EB">
        <w:tc>
          <w:tcPr>
            <w:tcW w:w="2129" w:type="dxa"/>
          </w:tcPr>
          <w:p w14:paraId="3C589039" w14:textId="653B4395" w:rsidR="00EA35E6" w:rsidRDefault="00A54BD5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iCs/>
              </w:rPr>
            </w:pPr>
            <w:r>
              <w:rPr>
                <w:rFonts w:ascii="Arial" w:eastAsia="TimesNewRoman" w:hAnsi="Arial" w:cs="Arial"/>
              </w:rPr>
              <w:t>&lt;</w:t>
            </w:r>
            <w:r w:rsidR="00EA35E6">
              <w:rPr>
                <w:rFonts w:ascii="Arial" w:eastAsia="TimesNewRoman" w:hAnsi="Arial" w:cs="Arial"/>
              </w:rPr>
              <w:t>8</w:t>
            </w:r>
            <w:r w:rsidR="00EA35E6" w:rsidRPr="00841B3C">
              <w:rPr>
                <w:rFonts w:ascii="Arial" w:eastAsia="TimesNewRoman" w:hAnsi="Arial" w:cs="Arial"/>
              </w:rPr>
              <w:t>0</w:t>
            </w:r>
          </w:p>
        </w:tc>
        <w:tc>
          <w:tcPr>
            <w:tcW w:w="2047" w:type="dxa"/>
          </w:tcPr>
          <w:p w14:paraId="2CA1B320" w14:textId="1E452467" w:rsidR="00EA35E6" w:rsidRDefault="00EA35E6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≤</w:t>
            </w:r>
            <w:r>
              <w:rPr>
                <w:rFonts w:ascii="Arial" w:eastAsia="TimesNewRoman" w:hAnsi="Arial" w:cs="Arial"/>
              </w:rPr>
              <w:t>4.4</w:t>
            </w:r>
          </w:p>
        </w:tc>
        <w:tc>
          <w:tcPr>
            <w:tcW w:w="1489" w:type="dxa"/>
          </w:tcPr>
          <w:p w14:paraId="526192FD" w14:textId="1A7560A1" w:rsidR="00EA35E6" w:rsidRDefault="00EA35E6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iCs/>
              </w:rPr>
            </w:pPr>
            <w:r>
              <w:rPr>
                <w:rFonts w:ascii="Arial" w:eastAsia="TimesNewRoman" w:hAnsi="Arial" w:cs="Arial"/>
              </w:rPr>
              <w:t>-</w:t>
            </w:r>
            <w:r w:rsidR="005F65F9">
              <w:rPr>
                <w:rFonts w:ascii="Arial" w:eastAsia="TimesNewRoman" w:hAnsi="Arial" w:cs="Arial"/>
              </w:rPr>
              <w:t>0.25</w:t>
            </w:r>
          </w:p>
        </w:tc>
        <w:tc>
          <w:tcPr>
            <w:tcW w:w="1560" w:type="dxa"/>
          </w:tcPr>
          <w:p w14:paraId="0450CEE1" w14:textId="5DC2B861" w:rsidR="00EA35E6" w:rsidRDefault="005F65F9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iCs/>
              </w:rPr>
            </w:pPr>
            <w:r>
              <w:rPr>
                <w:rFonts w:ascii="Arial" w:eastAsia="TimesNewRoman" w:hAnsi="Arial" w:cs="Arial"/>
              </w:rPr>
              <w:t>-1</w:t>
            </w:r>
          </w:p>
        </w:tc>
        <w:tc>
          <w:tcPr>
            <w:tcW w:w="2490" w:type="dxa"/>
          </w:tcPr>
          <w:p w14:paraId="198D0CFD" w14:textId="6389D941" w:rsidR="00EA35E6" w:rsidRPr="00E2047F" w:rsidRDefault="009C5FFE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-1.5</w:t>
            </w:r>
          </w:p>
        </w:tc>
      </w:tr>
      <w:tr w:rsidR="00EA35E6" w14:paraId="0B1725AF" w14:textId="77777777" w:rsidTr="00C032EB">
        <w:tc>
          <w:tcPr>
            <w:tcW w:w="2129" w:type="dxa"/>
          </w:tcPr>
          <w:p w14:paraId="248126FC" w14:textId="5F6990A3" w:rsidR="00EA35E6" w:rsidRDefault="00EA35E6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iCs/>
              </w:rPr>
            </w:pPr>
            <w:r>
              <w:rPr>
                <w:rFonts w:ascii="Arial" w:eastAsia="TimesNewRoman" w:hAnsi="Arial" w:cs="Arial"/>
              </w:rPr>
              <w:t>80</w:t>
            </w:r>
            <w:r w:rsidRPr="00841B3C">
              <w:rPr>
                <w:rFonts w:ascii="Arial" w:eastAsia="TimesNewRoman" w:hAnsi="Arial" w:cs="Arial"/>
              </w:rPr>
              <w:t xml:space="preserve"> – 1</w:t>
            </w:r>
            <w:r>
              <w:rPr>
                <w:rFonts w:ascii="Arial" w:eastAsia="TimesNewRoman" w:hAnsi="Arial" w:cs="Arial"/>
              </w:rPr>
              <w:t>0</w:t>
            </w:r>
            <w:r w:rsidRPr="00841B3C">
              <w:rPr>
                <w:rFonts w:ascii="Arial" w:eastAsia="TimesNewRoman" w:hAnsi="Arial" w:cs="Arial"/>
              </w:rPr>
              <w:t>0</w:t>
            </w:r>
          </w:p>
        </w:tc>
        <w:tc>
          <w:tcPr>
            <w:tcW w:w="2047" w:type="dxa"/>
          </w:tcPr>
          <w:p w14:paraId="09C15B5B" w14:textId="1943A7AE" w:rsidR="00EA35E6" w:rsidRDefault="00EA35E6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iCs/>
              </w:rPr>
            </w:pPr>
            <w:r>
              <w:rPr>
                <w:rFonts w:ascii="Arial" w:eastAsia="TimesNewRoman" w:hAnsi="Arial" w:cs="Arial"/>
              </w:rPr>
              <w:t>4.4</w:t>
            </w:r>
            <w:r w:rsidRPr="00841B3C">
              <w:rPr>
                <w:rFonts w:ascii="Arial" w:eastAsia="TimesNewRoman" w:hAnsi="Arial" w:cs="Arial"/>
              </w:rPr>
              <w:t xml:space="preserve"> – </w:t>
            </w:r>
            <w:r>
              <w:rPr>
                <w:rFonts w:ascii="Arial" w:eastAsia="TimesNewRoman" w:hAnsi="Arial" w:cs="Arial"/>
              </w:rPr>
              <w:t>5.5</w:t>
            </w:r>
          </w:p>
        </w:tc>
        <w:tc>
          <w:tcPr>
            <w:tcW w:w="1489" w:type="dxa"/>
          </w:tcPr>
          <w:p w14:paraId="59DA6250" w14:textId="5A271507" w:rsidR="00EA35E6" w:rsidRPr="005F65F9" w:rsidRDefault="005F65F9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No change</w:t>
            </w:r>
          </w:p>
        </w:tc>
        <w:tc>
          <w:tcPr>
            <w:tcW w:w="1560" w:type="dxa"/>
          </w:tcPr>
          <w:p w14:paraId="29FA7001" w14:textId="356398FA" w:rsidR="00EA35E6" w:rsidRPr="005F65F9" w:rsidRDefault="005F65F9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No change</w:t>
            </w:r>
          </w:p>
        </w:tc>
        <w:tc>
          <w:tcPr>
            <w:tcW w:w="2490" w:type="dxa"/>
          </w:tcPr>
          <w:p w14:paraId="44DDC68F" w14:textId="429DDF94" w:rsidR="00EA35E6" w:rsidRPr="00E2047F" w:rsidRDefault="009C5FFE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No change</w:t>
            </w:r>
          </w:p>
        </w:tc>
      </w:tr>
      <w:tr w:rsidR="00EA35E6" w14:paraId="2146C984" w14:textId="77777777" w:rsidTr="00C032EB">
        <w:tc>
          <w:tcPr>
            <w:tcW w:w="2129" w:type="dxa"/>
          </w:tcPr>
          <w:p w14:paraId="120D53DD" w14:textId="2EECF611" w:rsidR="00EA35E6" w:rsidRDefault="00EA35E6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1</w:t>
            </w:r>
            <w:r>
              <w:rPr>
                <w:rFonts w:ascii="Arial" w:eastAsia="TimesNewRoman" w:hAnsi="Arial" w:cs="Arial"/>
              </w:rPr>
              <w:t>0</w:t>
            </w:r>
            <w:r w:rsidRPr="00841B3C">
              <w:rPr>
                <w:rFonts w:ascii="Arial" w:eastAsia="TimesNewRoman" w:hAnsi="Arial" w:cs="Arial"/>
              </w:rPr>
              <w:t xml:space="preserve">1 – </w:t>
            </w:r>
            <w:r>
              <w:rPr>
                <w:rFonts w:ascii="Arial" w:eastAsia="TimesNewRoman" w:hAnsi="Arial" w:cs="Arial"/>
              </w:rPr>
              <w:t>140</w:t>
            </w:r>
          </w:p>
        </w:tc>
        <w:tc>
          <w:tcPr>
            <w:tcW w:w="2047" w:type="dxa"/>
          </w:tcPr>
          <w:p w14:paraId="2456FBFC" w14:textId="50FB1B37" w:rsidR="00EA35E6" w:rsidRDefault="00EA35E6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iCs/>
              </w:rPr>
            </w:pPr>
            <w:r>
              <w:rPr>
                <w:rFonts w:ascii="Arial" w:eastAsia="TimesNewRoman" w:hAnsi="Arial" w:cs="Arial"/>
              </w:rPr>
              <w:t>5.6</w:t>
            </w:r>
            <w:r w:rsidRPr="00841B3C">
              <w:rPr>
                <w:rFonts w:ascii="Arial" w:eastAsia="TimesNewRoman" w:hAnsi="Arial" w:cs="Arial"/>
              </w:rPr>
              <w:t xml:space="preserve"> – </w:t>
            </w:r>
            <w:r>
              <w:rPr>
                <w:rFonts w:ascii="Arial" w:eastAsia="TimesNewRoman" w:hAnsi="Arial" w:cs="Arial"/>
              </w:rPr>
              <w:t>7.7</w:t>
            </w:r>
          </w:p>
        </w:tc>
        <w:tc>
          <w:tcPr>
            <w:tcW w:w="1489" w:type="dxa"/>
          </w:tcPr>
          <w:p w14:paraId="380DBCF4" w14:textId="66856CA0" w:rsidR="00EA35E6" w:rsidRDefault="005F65F9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iCs/>
              </w:rPr>
            </w:pPr>
            <w:r>
              <w:rPr>
                <w:rFonts w:ascii="Arial" w:eastAsia="TimesNewRoman" w:hAnsi="Arial" w:cs="Arial"/>
              </w:rPr>
              <w:t>+0.25</w:t>
            </w:r>
          </w:p>
        </w:tc>
        <w:tc>
          <w:tcPr>
            <w:tcW w:w="1560" w:type="dxa"/>
          </w:tcPr>
          <w:p w14:paraId="02169E48" w14:textId="07D251F4" w:rsidR="00EA35E6" w:rsidRPr="009C5FFE" w:rsidRDefault="009C5FFE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+0.5</w:t>
            </w:r>
          </w:p>
        </w:tc>
        <w:tc>
          <w:tcPr>
            <w:tcW w:w="2490" w:type="dxa"/>
          </w:tcPr>
          <w:p w14:paraId="285007C5" w14:textId="3CBE9765" w:rsidR="00EA35E6" w:rsidRPr="00E2047F" w:rsidRDefault="009C5FFE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+0.75</w:t>
            </w:r>
          </w:p>
        </w:tc>
      </w:tr>
      <w:tr w:rsidR="00EA35E6" w14:paraId="13CC4819" w14:textId="77777777" w:rsidTr="00C032EB">
        <w:tc>
          <w:tcPr>
            <w:tcW w:w="2129" w:type="dxa"/>
          </w:tcPr>
          <w:p w14:paraId="27EDA5BC" w14:textId="57C364C8" w:rsidR="00EA35E6" w:rsidRPr="00841B3C" w:rsidRDefault="00EA35E6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 xml:space="preserve">141 – 180 </w:t>
            </w:r>
          </w:p>
        </w:tc>
        <w:tc>
          <w:tcPr>
            <w:tcW w:w="2047" w:type="dxa"/>
          </w:tcPr>
          <w:p w14:paraId="62FBD8DD" w14:textId="7BA03245" w:rsidR="00EA35E6" w:rsidRPr="00841B3C" w:rsidRDefault="00EA35E6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7.8 – 10.0</w:t>
            </w:r>
          </w:p>
        </w:tc>
        <w:tc>
          <w:tcPr>
            <w:tcW w:w="1489" w:type="dxa"/>
          </w:tcPr>
          <w:p w14:paraId="72BB7FA2" w14:textId="4183B26F" w:rsidR="00EA35E6" w:rsidRPr="00841B3C" w:rsidRDefault="005F65F9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+0.5</w:t>
            </w:r>
          </w:p>
        </w:tc>
        <w:tc>
          <w:tcPr>
            <w:tcW w:w="1560" w:type="dxa"/>
          </w:tcPr>
          <w:p w14:paraId="1E1C5287" w14:textId="26340F9B" w:rsidR="00EA35E6" w:rsidRPr="00841B3C" w:rsidRDefault="009C5FFE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+1</w:t>
            </w:r>
          </w:p>
        </w:tc>
        <w:tc>
          <w:tcPr>
            <w:tcW w:w="2490" w:type="dxa"/>
          </w:tcPr>
          <w:p w14:paraId="18872612" w14:textId="4FCE0830" w:rsidR="00EA35E6" w:rsidRPr="00841B3C" w:rsidRDefault="009C5FFE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+1.5</w:t>
            </w:r>
          </w:p>
        </w:tc>
      </w:tr>
      <w:tr w:rsidR="00EA35E6" w14:paraId="403E8967" w14:textId="77777777" w:rsidTr="00C032EB">
        <w:tc>
          <w:tcPr>
            <w:tcW w:w="2129" w:type="dxa"/>
          </w:tcPr>
          <w:p w14:paraId="234782FE" w14:textId="385919D0" w:rsidR="00EA35E6" w:rsidRDefault="00EA35E6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181 – 220</w:t>
            </w:r>
          </w:p>
        </w:tc>
        <w:tc>
          <w:tcPr>
            <w:tcW w:w="2047" w:type="dxa"/>
          </w:tcPr>
          <w:p w14:paraId="097900AD" w14:textId="46241820" w:rsidR="00EA35E6" w:rsidRPr="00841B3C" w:rsidRDefault="00EA35E6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10.1 – 12.2</w:t>
            </w:r>
          </w:p>
        </w:tc>
        <w:tc>
          <w:tcPr>
            <w:tcW w:w="1489" w:type="dxa"/>
          </w:tcPr>
          <w:p w14:paraId="021B9B62" w14:textId="1C8EC175" w:rsidR="00EA35E6" w:rsidRPr="00841B3C" w:rsidRDefault="005F65F9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+0.75</w:t>
            </w:r>
          </w:p>
        </w:tc>
        <w:tc>
          <w:tcPr>
            <w:tcW w:w="1560" w:type="dxa"/>
          </w:tcPr>
          <w:p w14:paraId="7824AA5B" w14:textId="67E02FBF" w:rsidR="00EA35E6" w:rsidRPr="00841B3C" w:rsidRDefault="009C5FFE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+1.5</w:t>
            </w:r>
          </w:p>
        </w:tc>
        <w:tc>
          <w:tcPr>
            <w:tcW w:w="2490" w:type="dxa"/>
          </w:tcPr>
          <w:p w14:paraId="24B49ED8" w14:textId="269F88A0" w:rsidR="00EA35E6" w:rsidRPr="00841B3C" w:rsidRDefault="009C5FFE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+2</w:t>
            </w:r>
          </w:p>
        </w:tc>
      </w:tr>
      <w:tr w:rsidR="00EA35E6" w14:paraId="1B35F6B3" w14:textId="77777777" w:rsidTr="00C032EB">
        <w:tc>
          <w:tcPr>
            <w:tcW w:w="2129" w:type="dxa"/>
          </w:tcPr>
          <w:p w14:paraId="33AD823A" w14:textId="0EE886CE" w:rsidR="00EA35E6" w:rsidRDefault="00EA35E6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&gt;220</w:t>
            </w:r>
          </w:p>
        </w:tc>
        <w:tc>
          <w:tcPr>
            <w:tcW w:w="2047" w:type="dxa"/>
          </w:tcPr>
          <w:p w14:paraId="2269CA88" w14:textId="2644F1EE" w:rsidR="00EA35E6" w:rsidRDefault="00EA35E6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&gt;12.2</w:t>
            </w:r>
          </w:p>
        </w:tc>
        <w:tc>
          <w:tcPr>
            <w:tcW w:w="1489" w:type="dxa"/>
          </w:tcPr>
          <w:p w14:paraId="4F8B869E" w14:textId="670F2E56" w:rsidR="00EA35E6" w:rsidRPr="005F65F9" w:rsidRDefault="005F65F9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+1</w:t>
            </w:r>
          </w:p>
        </w:tc>
        <w:tc>
          <w:tcPr>
            <w:tcW w:w="1560" w:type="dxa"/>
          </w:tcPr>
          <w:p w14:paraId="36B8329E" w14:textId="6B340D32" w:rsidR="00EA35E6" w:rsidRPr="009C5FFE" w:rsidRDefault="009C5FFE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+2</w:t>
            </w:r>
          </w:p>
        </w:tc>
        <w:tc>
          <w:tcPr>
            <w:tcW w:w="2490" w:type="dxa"/>
          </w:tcPr>
          <w:p w14:paraId="21A6E899" w14:textId="7897CB87" w:rsidR="00EA35E6" w:rsidRPr="00E2047F" w:rsidRDefault="009C5FFE" w:rsidP="00E2047F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+3</w:t>
            </w:r>
          </w:p>
        </w:tc>
      </w:tr>
    </w:tbl>
    <w:p w14:paraId="45D7A8E1" w14:textId="77777777" w:rsidR="00C032EB" w:rsidRPr="00643565" w:rsidRDefault="00C032EB" w:rsidP="00650CA1">
      <w:pPr>
        <w:autoSpaceDE w:val="0"/>
        <w:autoSpaceDN w:val="0"/>
        <w:adjustRightInd w:val="0"/>
        <w:spacing w:after="0"/>
        <w:rPr>
          <w:rFonts w:ascii="Arial" w:eastAsia="TimesNewRoman" w:hAnsi="Arial" w:cs="Arial"/>
        </w:rPr>
      </w:pPr>
      <w:r w:rsidRPr="00E2047F">
        <w:rPr>
          <w:rFonts w:ascii="Arial" w:eastAsia="TimesNewRoman" w:hAnsi="Arial" w:cs="Arial"/>
          <w:vertAlign w:val="superscript"/>
        </w:rPr>
        <w:t>a</w:t>
      </w:r>
      <w:r w:rsidRPr="00643565">
        <w:rPr>
          <w:rFonts w:ascii="Arial" w:eastAsia="TimesNewRoman" w:hAnsi="Arial" w:cs="Arial"/>
        </w:rPr>
        <w:t xml:space="preserve"> This dose adjustment is added to the Basal Insulin Equivalent Dose to obtain the total weekly dose of</w:t>
      </w:r>
      <w:r>
        <w:rPr>
          <w:rFonts w:ascii="Arial" w:eastAsia="TimesNewRoman" w:hAnsi="Arial" w:cs="Arial"/>
        </w:rPr>
        <w:t xml:space="preserve"> BIF</w:t>
      </w:r>
      <w:r w:rsidRPr="00643565">
        <w:rPr>
          <w:rFonts w:ascii="Arial" w:eastAsia="TimesNewRoman" w:hAnsi="Arial" w:cs="Arial"/>
        </w:rPr>
        <w:t xml:space="preserve"> in mg. The starting total weekly dose of </w:t>
      </w:r>
      <w:r>
        <w:rPr>
          <w:rFonts w:ascii="Arial" w:eastAsia="TimesNewRoman" w:hAnsi="Arial" w:cs="Arial"/>
        </w:rPr>
        <w:t>BIF</w:t>
      </w:r>
      <w:r w:rsidRPr="00643565">
        <w:rPr>
          <w:rFonts w:ascii="Arial" w:eastAsia="TimesNewRoman" w:hAnsi="Arial" w:cs="Arial"/>
        </w:rPr>
        <w:t xml:space="preserve"> is increased 3-fold (multiplied by 3) to obtain</w:t>
      </w:r>
      <w:r>
        <w:rPr>
          <w:rFonts w:ascii="Arial" w:eastAsia="TimesNewRoman" w:hAnsi="Arial" w:cs="Arial"/>
        </w:rPr>
        <w:t xml:space="preserve"> </w:t>
      </w:r>
      <w:r w:rsidRPr="00643565">
        <w:rPr>
          <w:rFonts w:ascii="Arial" w:eastAsia="TimesNewRoman" w:hAnsi="Arial" w:cs="Arial"/>
        </w:rPr>
        <w:t xml:space="preserve">the first loading dose of </w:t>
      </w:r>
      <w:r>
        <w:rPr>
          <w:rFonts w:ascii="Arial" w:eastAsia="TimesNewRoman" w:hAnsi="Arial" w:cs="Arial"/>
        </w:rPr>
        <w:t>BIF</w:t>
      </w:r>
      <w:r w:rsidRPr="00643565">
        <w:rPr>
          <w:rFonts w:ascii="Arial" w:eastAsia="TimesNewRoman" w:hAnsi="Arial" w:cs="Arial"/>
        </w:rPr>
        <w:t xml:space="preserve"> necessary to reduce the time to achieve target glycemic response.</w:t>
      </w:r>
    </w:p>
    <w:p w14:paraId="58E2E189" w14:textId="7D769095" w:rsidR="00841B3C" w:rsidRDefault="00C032EB" w:rsidP="00C032E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</w:rPr>
      </w:pPr>
      <w:r w:rsidRPr="00002F05">
        <w:rPr>
          <w:rFonts w:ascii="Arial" w:eastAsia="TimesNewRoman" w:hAnsi="Arial" w:cs="Arial"/>
          <w:vertAlign w:val="superscript"/>
        </w:rPr>
        <w:t>b</w:t>
      </w:r>
      <w:r w:rsidRPr="00643565">
        <w:rPr>
          <w:rFonts w:ascii="Arial" w:eastAsia="TimesNewRoman" w:hAnsi="Arial" w:cs="Arial"/>
        </w:rPr>
        <w:t xml:space="preserve"> Conversions from mg/dL to mmol/L were rounded off to prevent overlap between threshold ranges and to</w:t>
      </w:r>
      <w:r>
        <w:rPr>
          <w:rFonts w:ascii="Arial" w:eastAsia="TimesNewRoman" w:hAnsi="Arial" w:cs="Arial"/>
        </w:rPr>
        <w:t xml:space="preserve"> </w:t>
      </w:r>
      <w:r w:rsidRPr="00643565">
        <w:rPr>
          <w:rFonts w:ascii="Arial" w:eastAsia="TimesNewRoman" w:hAnsi="Arial" w:cs="Arial"/>
        </w:rPr>
        <w:t>address that the glucose meter displays 1 significant digit after the decimal when reporting mmol/L readings.</w:t>
      </w:r>
    </w:p>
    <w:p w14:paraId="46D9B370" w14:textId="57811C28" w:rsidR="00841B3C" w:rsidRPr="00841B3C" w:rsidRDefault="00841B3C" w:rsidP="00E2047F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</w:rPr>
      </w:pPr>
    </w:p>
    <w:p w14:paraId="0EAEF2D2" w14:textId="70B83C13" w:rsidR="00841B3C" w:rsidRPr="00E2047F" w:rsidRDefault="00E2047F" w:rsidP="00841B3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</w:rPr>
      </w:pPr>
      <w:r w:rsidRPr="00E2047F">
        <w:rPr>
          <w:rFonts w:ascii="Arial" w:eastAsia="TimesNewRoman" w:hAnsi="Arial" w:cs="Arial"/>
          <w:i/>
          <w:iCs/>
        </w:rPr>
        <w:t xml:space="preserve">Week 1, </w:t>
      </w:r>
      <w:r w:rsidR="00841B3C" w:rsidRPr="00E2047F">
        <w:rPr>
          <w:rFonts w:ascii="Arial" w:eastAsia="TimesNewRoman" w:hAnsi="Arial" w:cs="Arial"/>
          <w:i/>
          <w:iCs/>
        </w:rPr>
        <w:t>Visit 4</w:t>
      </w:r>
      <w:r w:rsidRPr="00E2047F">
        <w:rPr>
          <w:rFonts w:ascii="Arial" w:eastAsia="TimesNewRoman" w:hAnsi="Arial" w:cs="Arial"/>
          <w:i/>
          <w:iCs/>
        </w:rPr>
        <w:t>:</w:t>
      </w:r>
    </w:p>
    <w:p w14:paraId="69AD9E8F" w14:textId="1DBE1BE3" w:rsidR="001761F8" w:rsidRPr="001761F8" w:rsidRDefault="001761F8" w:rsidP="001761F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1761F8">
        <w:rPr>
          <w:rFonts w:ascii="Arial" w:eastAsia="TimesNewRoman" w:hAnsi="Arial" w:cs="Arial"/>
        </w:rPr>
        <w:t xml:space="preserve">Obtain the starting total weekly dose </w:t>
      </w:r>
      <w:r>
        <w:rPr>
          <w:rFonts w:ascii="Arial" w:eastAsia="TimesNewRoman" w:hAnsi="Arial" w:cs="Arial"/>
        </w:rPr>
        <w:t>BIF</w:t>
      </w:r>
      <w:r w:rsidRPr="001761F8">
        <w:rPr>
          <w:rFonts w:ascii="Arial" w:eastAsia="TimesNewRoman" w:hAnsi="Arial" w:cs="Arial"/>
        </w:rPr>
        <w:t xml:space="preserve"> mg determined at Visit 3. (This is 1/3rd</w:t>
      </w:r>
    </w:p>
    <w:p w14:paraId="2F9761DF" w14:textId="77777777" w:rsidR="001761F8" w:rsidRDefault="001761F8" w:rsidP="001761F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1761F8">
        <w:rPr>
          <w:rFonts w:ascii="Arial" w:eastAsia="TimesNewRoman" w:hAnsi="Arial" w:cs="Arial"/>
        </w:rPr>
        <w:t>the dose administered at Visit 3.)</w:t>
      </w:r>
    </w:p>
    <w:p w14:paraId="194E5039" w14:textId="77777777" w:rsidR="001761F8" w:rsidRDefault="001761F8" w:rsidP="001761F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34D70D83" w14:textId="475F4BF0" w:rsidR="001761F8" w:rsidRDefault="001761F8" w:rsidP="001761F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</w:rPr>
      </w:pPr>
      <w:r w:rsidRPr="001761F8">
        <w:rPr>
          <w:rFonts w:ascii="Arial" w:eastAsia="TimesNewRoman" w:hAnsi="Arial" w:cs="Arial"/>
        </w:rPr>
        <w:t xml:space="preserve">Use </w:t>
      </w:r>
      <w:r>
        <w:rPr>
          <w:rFonts w:ascii="Arial" w:eastAsia="TimesNewRoman" w:hAnsi="Arial" w:cs="Arial"/>
        </w:rPr>
        <w:t>the table below</w:t>
      </w:r>
      <w:r w:rsidRPr="001761F8">
        <w:rPr>
          <w:rFonts w:ascii="Arial" w:eastAsia="TimesNewRoman" w:hAnsi="Arial" w:cs="Arial"/>
        </w:rPr>
        <w:t xml:space="preserve"> to determine the dose adjustment needed for Visit 4</w:t>
      </w:r>
      <w:r>
        <w:rPr>
          <w:rFonts w:ascii="Arial" w:eastAsia="TimesNewRoman" w:hAnsi="Arial" w:cs="Arial"/>
        </w:rPr>
        <w:t>.</w:t>
      </w:r>
    </w:p>
    <w:p w14:paraId="554A538E" w14:textId="1B7BEE6D" w:rsidR="00C81945" w:rsidRDefault="00C81945" w:rsidP="001761F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</w:rPr>
      </w:pPr>
    </w:p>
    <w:p w14:paraId="7C769EFD" w14:textId="6DBE567B" w:rsidR="00650CA1" w:rsidRDefault="00650CA1" w:rsidP="001761F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</w:rPr>
      </w:pPr>
      <w:r w:rsidRPr="00DB1722">
        <w:rPr>
          <w:rFonts w:ascii="Arial" w:eastAsia="TimesNewRoman" w:hAnsi="Arial" w:cs="Arial"/>
          <w:b/>
          <w:bCs/>
        </w:rPr>
        <w:t>Weekly Dose Adjustment of LY3209590 Using the Previous Week’s</w:t>
      </w:r>
      <w:r>
        <w:rPr>
          <w:rFonts w:ascii="Arial" w:eastAsia="TimesNewRoman" w:hAnsi="Arial" w:cs="Arial"/>
          <w:b/>
          <w:bCs/>
        </w:rPr>
        <w:t xml:space="preserve"> </w:t>
      </w:r>
      <w:r w:rsidRPr="00DB1722">
        <w:rPr>
          <w:rFonts w:ascii="Arial" w:eastAsia="TimesNewRoman" w:hAnsi="Arial" w:cs="Arial"/>
          <w:b/>
          <w:bCs/>
        </w:rPr>
        <w:t>Dose (D) using the</w:t>
      </w:r>
      <w:r>
        <w:rPr>
          <w:rFonts w:ascii="Arial" w:eastAsia="TimesNewRoman" w:hAnsi="Arial" w:cs="Arial"/>
          <w:b/>
          <w:bCs/>
        </w:rPr>
        <w:t xml:space="preserve"> </w:t>
      </w:r>
      <w:r w:rsidRPr="00DB1722">
        <w:rPr>
          <w:rFonts w:ascii="Arial" w:eastAsia="TimesNewRoman" w:hAnsi="Arial" w:cs="Arial"/>
          <w:b/>
          <w:bCs/>
        </w:rPr>
        <w:t>Median Fasting Glucose and Hypoglycemic</w:t>
      </w:r>
      <w:r>
        <w:rPr>
          <w:rFonts w:ascii="Arial" w:eastAsia="TimesNewRoman" w:hAnsi="Arial" w:cs="Arial"/>
          <w:b/>
          <w:bCs/>
        </w:rPr>
        <w:t xml:space="preserve"> </w:t>
      </w:r>
      <w:r w:rsidRPr="00DB1722">
        <w:rPr>
          <w:rFonts w:ascii="Arial" w:eastAsia="TimesNewRoman" w:hAnsi="Arial" w:cs="Arial"/>
          <w:b/>
          <w:bCs/>
        </w:rPr>
        <w:t>Episodes</w:t>
      </w:r>
    </w:p>
    <w:tbl>
      <w:tblPr>
        <w:tblStyle w:val="TableGrid"/>
        <w:tblW w:w="10824" w:type="dxa"/>
        <w:tblInd w:w="-455" w:type="dxa"/>
        <w:tblLook w:val="04A0" w:firstRow="1" w:lastRow="0" w:firstColumn="1" w:lastColumn="0" w:noHBand="0" w:noVBand="1"/>
      </w:tblPr>
      <w:tblGrid>
        <w:gridCol w:w="2733"/>
        <w:gridCol w:w="2733"/>
        <w:gridCol w:w="1749"/>
        <w:gridCol w:w="1749"/>
        <w:gridCol w:w="1860"/>
      </w:tblGrid>
      <w:tr w:rsidR="00602FD4" w14:paraId="2D149EEC" w14:textId="77777777" w:rsidTr="00602FD4">
        <w:trPr>
          <w:trHeight w:val="1053"/>
        </w:trPr>
        <w:tc>
          <w:tcPr>
            <w:tcW w:w="2733" w:type="dxa"/>
          </w:tcPr>
          <w:p w14:paraId="063B062B" w14:textId="6641AF84" w:rsidR="00602FD4" w:rsidRDefault="00602FD4" w:rsidP="00650CA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,Bold" w:hAnsi="Arial" w:cs="Arial"/>
                <w:b/>
                <w:bCs/>
              </w:rPr>
              <w:t>Median Fasting</w:t>
            </w:r>
            <w:r w:rsidR="00650CA1">
              <w:rPr>
                <w:rFonts w:ascii="Arial" w:eastAsia="TimesNewRoman,Bold" w:hAnsi="Arial" w:cs="Arial"/>
                <w:b/>
                <w:bCs/>
              </w:rPr>
              <w:t xml:space="preserve"> </w:t>
            </w:r>
            <w:r w:rsidRPr="00841B3C">
              <w:rPr>
                <w:rFonts w:ascii="Arial" w:eastAsia="TimesNewRoman,Bold" w:hAnsi="Arial" w:cs="Arial"/>
                <w:b/>
                <w:bCs/>
              </w:rPr>
              <w:t>Glucose</w:t>
            </w:r>
            <w:r>
              <w:rPr>
                <w:rFonts w:ascii="Arial" w:eastAsia="TimesNewRoman,Bold" w:hAnsi="Arial" w:cs="Arial"/>
                <w:b/>
                <w:bCs/>
              </w:rPr>
              <w:t xml:space="preserve"> </w:t>
            </w:r>
            <w:r w:rsidRPr="00841B3C">
              <w:rPr>
                <w:rFonts w:ascii="Arial" w:eastAsia="TimesNewRoman,Bold" w:hAnsi="Arial" w:cs="Arial"/>
                <w:b/>
                <w:bCs/>
              </w:rPr>
              <w:t>(mg/dL)</w:t>
            </w:r>
            <w:r w:rsidRPr="00C81945">
              <w:rPr>
                <w:rFonts w:ascii="Arial" w:eastAsia="TimesNewRoman,Bold" w:hAnsi="Arial" w:cs="Arial"/>
                <w:b/>
                <w:bCs/>
                <w:vertAlign w:val="superscript"/>
              </w:rPr>
              <w:t>a</w:t>
            </w:r>
          </w:p>
        </w:tc>
        <w:tc>
          <w:tcPr>
            <w:tcW w:w="2733" w:type="dxa"/>
          </w:tcPr>
          <w:p w14:paraId="21685DD0" w14:textId="4EB91843" w:rsidR="00602FD4" w:rsidRDefault="00602FD4" w:rsidP="00650CA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,Bold" w:hAnsi="Arial" w:cs="Arial"/>
                <w:b/>
                <w:bCs/>
              </w:rPr>
              <w:t>Median Fasting</w:t>
            </w:r>
            <w:r w:rsidR="00650CA1">
              <w:rPr>
                <w:rFonts w:ascii="Arial" w:eastAsia="TimesNewRoman,Bold" w:hAnsi="Arial" w:cs="Arial"/>
                <w:b/>
                <w:bCs/>
              </w:rPr>
              <w:t xml:space="preserve"> </w:t>
            </w:r>
            <w:r w:rsidRPr="00841B3C">
              <w:rPr>
                <w:rFonts w:ascii="Arial" w:eastAsia="TimesNewRoman,Bold" w:hAnsi="Arial" w:cs="Arial"/>
                <w:b/>
                <w:bCs/>
              </w:rPr>
              <w:t>Glucose</w:t>
            </w:r>
            <w:r>
              <w:rPr>
                <w:rFonts w:ascii="Arial" w:eastAsia="TimesNewRoman,Bold" w:hAnsi="Arial" w:cs="Arial"/>
                <w:b/>
                <w:bCs/>
              </w:rPr>
              <w:t xml:space="preserve"> </w:t>
            </w:r>
            <w:r w:rsidRPr="00841B3C">
              <w:rPr>
                <w:rFonts w:ascii="Arial" w:eastAsia="TimesNewRoman,Bold" w:hAnsi="Arial" w:cs="Arial"/>
                <w:b/>
                <w:bCs/>
              </w:rPr>
              <w:t>(mmol/L)</w:t>
            </w:r>
            <w:r w:rsidRPr="00C81945">
              <w:rPr>
                <w:rFonts w:ascii="Arial" w:eastAsia="TimesNewRoman,Bold" w:hAnsi="Arial" w:cs="Arial"/>
                <w:b/>
                <w:bCs/>
                <w:vertAlign w:val="superscript"/>
              </w:rPr>
              <w:t>a,e</w:t>
            </w:r>
          </w:p>
        </w:tc>
        <w:tc>
          <w:tcPr>
            <w:tcW w:w="1749" w:type="dxa"/>
          </w:tcPr>
          <w:p w14:paraId="3BE3C543" w14:textId="51D176CD" w:rsidR="00602FD4" w:rsidRPr="00C81945" w:rsidRDefault="00602FD4" w:rsidP="00650CA1">
            <w:pPr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</w:rPr>
            </w:pPr>
            <w:r w:rsidRPr="00841B3C">
              <w:rPr>
                <w:rFonts w:ascii="Arial" w:eastAsia="TimesNewRoman,Bold" w:hAnsi="Arial" w:cs="Arial"/>
                <w:b/>
                <w:bCs/>
              </w:rPr>
              <w:t>Week 1</w:t>
            </w:r>
            <w:r w:rsidR="00650CA1">
              <w:rPr>
                <w:rFonts w:ascii="Arial" w:eastAsia="TimesNewRoman,Bold" w:hAnsi="Arial" w:cs="Arial"/>
                <w:b/>
                <w:bCs/>
              </w:rPr>
              <w:t xml:space="preserve"> </w:t>
            </w:r>
            <w:r w:rsidRPr="00841B3C">
              <w:rPr>
                <w:rFonts w:ascii="Arial" w:eastAsia="TimesNewRoman,Bold" w:hAnsi="Arial" w:cs="Arial"/>
                <w:b/>
                <w:bCs/>
              </w:rPr>
              <w:t>(Visit 4)</w:t>
            </w:r>
            <w:r w:rsidR="00650CA1">
              <w:rPr>
                <w:rFonts w:ascii="Arial" w:eastAsia="TimesNewRoman,Bold" w:hAnsi="Arial" w:cs="Arial"/>
                <w:b/>
                <w:bCs/>
              </w:rPr>
              <w:t xml:space="preserve"> </w:t>
            </w:r>
            <w:r w:rsidRPr="00841B3C">
              <w:rPr>
                <w:rFonts w:ascii="Arial" w:eastAsia="TimesNewRoman,Bold" w:hAnsi="Arial" w:cs="Arial"/>
                <w:b/>
                <w:bCs/>
              </w:rPr>
              <w:t>(2nd dose)</w:t>
            </w:r>
          </w:p>
        </w:tc>
        <w:tc>
          <w:tcPr>
            <w:tcW w:w="1749" w:type="dxa"/>
          </w:tcPr>
          <w:p w14:paraId="2C1366DE" w14:textId="51AD0E38" w:rsidR="00602FD4" w:rsidRPr="00C81945" w:rsidRDefault="00602FD4" w:rsidP="00650CA1">
            <w:pPr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</w:rPr>
            </w:pPr>
            <w:r w:rsidRPr="00841B3C">
              <w:rPr>
                <w:rFonts w:ascii="Arial" w:eastAsia="TimesNewRoman,Bold" w:hAnsi="Arial" w:cs="Arial"/>
                <w:b/>
                <w:bCs/>
              </w:rPr>
              <w:t>Week 2</w:t>
            </w:r>
            <w:r w:rsidR="00650CA1">
              <w:rPr>
                <w:rFonts w:ascii="Arial" w:eastAsia="TimesNewRoman,Bold" w:hAnsi="Arial" w:cs="Arial"/>
                <w:b/>
                <w:bCs/>
              </w:rPr>
              <w:t xml:space="preserve"> </w:t>
            </w:r>
            <w:r w:rsidRPr="00841B3C">
              <w:rPr>
                <w:rFonts w:ascii="Arial" w:eastAsia="TimesNewRoman,Bold" w:hAnsi="Arial" w:cs="Arial"/>
                <w:b/>
                <w:bCs/>
              </w:rPr>
              <w:t>(Visit 5)</w:t>
            </w:r>
            <w:r w:rsidR="00650CA1">
              <w:rPr>
                <w:rFonts w:ascii="Arial" w:eastAsia="TimesNewRoman,Bold" w:hAnsi="Arial" w:cs="Arial"/>
                <w:b/>
                <w:bCs/>
              </w:rPr>
              <w:t xml:space="preserve"> </w:t>
            </w:r>
            <w:r w:rsidRPr="00841B3C">
              <w:rPr>
                <w:rFonts w:ascii="Arial" w:eastAsia="TimesNewRoman,Bold" w:hAnsi="Arial" w:cs="Arial"/>
                <w:b/>
                <w:bCs/>
              </w:rPr>
              <w:t>(3rd dose)</w:t>
            </w:r>
          </w:p>
        </w:tc>
        <w:tc>
          <w:tcPr>
            <w:tcW w:w="1860" w:type="dxa"/>
          </w:tcPr>
          <w:p w14:paraId="2AC98EC8" w14:textId="051C7E20" w:rsidR="00602FD4" w:rsidRPr="00841B3C" w:rsidRDefault="00602FD4" w:rsidP="00650CA1">
            <w:pPr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</w:rPr>
            </w:pPr>
            <w:r w:rsidRPr="00841B3C">
              <w:rPr>
                <w:rFonts w:ascii="Arial" w:eastAsia="TimesNewRoman,Bold" w:hAnsi="Arial" w:cs="Arial"/>
                <w:b/>
                <w:bCs/>
              </w:rPr>
              <w:t>Subsequent Week</w:t>
            </w:r>
            <w:r w:rsidRPr="00C81945">
              <w:rPr>
                <w:rFonts w:ascii="Arial" w:eastAsia="TimesNewRoman,Bold" w:hAnsi="Arial" w:cs="Arial"/>
                <w:b/>
                <w:bCs/>
                <w:vertAlign w:val="superscript"/>
              </w:rPr>
              <w:t>c</w:t>
            </w:r>
          </w:p>
        </w:tc>
      </w:tr>
      <w:tr w:rsidR="00FE088C" w14:paraId="34FEB61F" w14:textId="77777777" w:rsidTr="00602FD4">
        <w:trPr>
          <w:trHeight w:val="1393"/>
        </w:trPr>
        <w:tc>
          <w:tcPr>
            <w:tcW w:w="2733" w:type="dxa"/>
          </w:tcPr>
          <w:p w14:paraId="0B218B85" w14:textId="108E4393" w:rsidR="00FE088C" w:rsidRDefault="00FE088C" w:rsidP="00650CA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&lt;80 mg/dL or</w:t>
            </w:r>
            <w:r w:rsidR="00650CA1">
              <w:rPr>
                <w:rFonts w:ascii="Arial" w:eastAsia="TimesNewRoman" w:hAnsi="Arial" w:cs="Arial"/>
              </w:rPr>
              <w:t xml:space="preserve"> </w:t>
            </w:r>
            <w:r w:rsidRPr="00841B3C">
              <w:rPr>
                <w:rFonts w:ascii="Arial" w:eastAsia="TimesNewRoman" w:hAnsi="Arial" w:cs="Arial"/>
              </w:rPr>
              <w:t>have any nocturnal</w:t>
            </w:r>
            <w:r w:rsidR="00650CA1">
              <w:rPr>
                <w:rFonts w:ascii="Arial" w:eastAsia="TimesNewRoman" w:hAnsi="Arial" w:cs="Arial"/>
              </w:rPr>
              <w:t xml:space="preserve"> </w:t>
            </w:r>
            <w:r w:rsidRPr="00841B3C">
              <w:rPr>
                <w:rFonts w:ascii="Arial" w:eastAsia="TimesNewRoman" w:hAnsi="Arial" w:cs="Arial"/>
              </w:rPr>
              <w:t>hypoglycemia or</w:t>
            </w:r>
            <w:r w:rsidR="00650CA1">
              <w:rPr>
                <w:rFonts w:ascii="Arial" w:eastAsia="TimesNewRoman" w:hAnsi="Arial" w:cs="Arial"/>
              </w:rPr>
              <w:t xml:space="preserve"> </w:t>
            </w:r>
            <w:r w:rsidRPr="00841B3C">
              <w:rPr>
                <w:rFonts w:ascii="Arial" w:eastAsia="TimesNewRoman" w:hAnsi="Arial" w:cs="Arial"/>
              </w:rPr>
              <w:t>multiple episodes of</w:t>
            </w:r>
            <w:r w:rsidR="00650CA1">
              <w:rPr>
                <w:rFonts w:ascii="Arial" w:eastAsia="TimesNewRoman" w:hAnsi="Arial" w:cs="Arial"/>
              </w:rPr>
              <w:t xml:space="preserve"> </w:t>
            </w:r>
            <w:r w:rsidRPr="00841B3C">
              <w:rPr>
                <w:rFonts w:ascii="Arial" w:eastAsia="TimesNewRoman" w:hAnsi="Arial" w:cs="Arial"/>
              </w:rPr>
              <w:t>hypoglycemia</w:t>
            </w:r>
            <w:r w:rsidRPr="00C81945">
              <w:rPr>
                <w:rFonts w:ascii="Arial" w:eastAsia="TimesNewRoman" w:hAnsi="Arial" w:cs="Arial"/>
                <w:vertAlign w:val="superscript"/>
              </w:rPr>
              <w:t>d</w:t>
            </w:r>
          </w:p>
        </w:tc>
        <w:tc>
          <w:tcPr>
            <w:tcW w:w="2733" w:type="dxa"/>
          </w:tcPr>
          <w:p w14:paraId="20F2213E" w14:textId="2F907D14" w:rsidR="00FE088C" w:rsidRDefault="00FE088C" w:rsidP="00650CA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&lt;4.4 mmol/L or</w:t>
            </w:r>
            <w:r w:rsidR="00650CA1">
              <w:rPr>
                <w:rFonts w:ascii="Arial" w:eastAsia="TimesNewRoman" w:hAnsi="Arial" w:cs="Arial"/>
              </w:rPr>
              <w:t xml:space="preserve"> </w:t>
            </w:r>
            <w:r w:rsidRPr="00841B3C">
              <w:rPr>
                <w:rFonts w:ascii="Arial" w:eastAsia="TimesNewRoman" w:hAnsi="Arial" w:cs="Arial"/>
              </w:rPr>
              <w:t>have any nocturnal</w:t>
            </w:r>
            <w:r w:rsidR="00650CA1">
              <w:rPr>
                <w:rFonts w:ascii="Arial" w:eastAsia="TimesNewRoman" w:hAnsi="Arial" w:cs="Arial"/>
              </w:rPr>
              <w:t xml:space="preserve"> </w:t>
            </w:r>
            <w:r w:rsidRPr="00841B3C">
              <w:rPr>
                <w:rFonts w:ascii="Arial" w:eastAsia="TimesNewRoman" w:hAnsi="Arial" w:cs="Arial"/>
              </w:rPr>
              <w:t>hypoglycemia or</w:t>
            </w:r>
            <w:r w:rsidR="00650CA1">
              <w:rPr>
                <w:rFonts w:ascii="Arial" w:eastAsia="TimesNewRoman" w:hAnsi="Arial" w:cs="Arial"/>
              </w:rPr>
              <w:t xml:space="preserve"> </w:t>
            </w:r>
            <w:r w:rsidRPr="00841B3C">
              <w:rPr>
                <w:rFonts w:ascii="Arial" w:eastAsia="TimesNewRoman" w:hAnsi="Arial" w:cs="Arial"/>
              </w:rPr>
              <w:t>multiple episodes of</w:t>
            </w:r>
            <w:r w:rsidR="00650CA1">
              <w:rPr>
                <w:rFonts w:ascii="Arial" w:eastAsia="TimesNewRoman" w:hAnsi="Arial" w:cs="Arial"/>
              </w:rPr>
              <w:t xml:space="preserve"> </w:t>
            </w:r>
            <w:r w:rsidRPr="00841B3C">
              <w:rPr>
                <w:rFonts w:ascii="Arial" w:eastAsia="TimesNewRoman" w:hAnsi="Arial" w:cs="Arial"/>
              </w:rPr>
              <w:t>hypoglycemia</w:t>
            </w:r>
            <w:r w:rsidRPr="00C81945">
              <w:rPr>
                <w:rFonts w:ascii="Arial" w:eastAsia="TimesNewRoman" w:hAnsi="Arial" w:cs="Arial"/>
                <w:vertAlign w:val="superscript"/>
              </w:rPr>
              <w:t>d</w:t>
            </w:r>
          </w:p>
        </w:tc>
        <w:tc>
          <w:tcPr>
            <w:tcW w:w="1749" w:type="dxa"/>
          </w:tcPr>
          <w:p w14:paraId="03F21CA5" w14:textId="46E42962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D</w:t>
            </w:r>
            <w:r w:rsidRPr="00C81945">
              <w:rPr>
                <w:rFonts w:ascii="Arial" w:eastAsia="TimesNewRoman" w:hAnsi="Arial" w:cs="Arial"/>
                <w:vertAlign w:val="superscript"/>
              </w:rPr>
              <w:t>b</w:t>
            </w:r>
            <w:r w:rsidRPr="00841B3C">
              <w:rPr>
                <w:rFonts w:ascii="Arial" w:eastAsia="TimesNewRoman" w:hAnsi="Arial" w:cs="Arial"/>
              </w:rPr>
              <w:t xml:space="preserve"> – 1.5 mg</w:t>
            </w:r>
          </w:p>
        </w:tc>
        <w:tc>
          <w:tcPr>
            <w:tcW w:w="1749" w:type="dxa"/>
          </w:tcPr>
          <w:p w14:paraId="7A41A69A" w14:textId="4BE163E0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D</w:t>
            </w:r>
            <w:r w:rsidRPr="00C81945">
              <w:rPr>
                <w:rFonts w:ascii="Arial" w:eastAsia="TimesNewRoman" w:hAnsi="Arial" w:cs="Arial"/>
                <w:vertAlign w:val="superscript"/>
              </w:rPr>
              <w:t>b</w:t>
            </w:r>
            <w:r w:rsidRPr="00841B3C">
              <w:rPr>
                <w:rFonts w:ascii="Arial" w:eastAsia="TimesNewRoman" w:hAnsi="Arial" w:cs="Arial"/>
              </w:rPr>
              <w:t xml:space="preserve"> – 1 mg</w:t>
            </w:r>
          </w:p>
        </w:tc>
        <w:tc>
          <w:tcPr>
            <w:tcW w:w="1860" w:type="dxa"/>
          </w:tcPr>
          <w:p w14:paraId="43A158C8" w14:textId="23296276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D</w:t>
            </w:r>
            <w:r w:rsidRPr="00C81945">
              <w:rPr>
                <w:rFonts w:ascii="Arial" w:eastAsia="TimesNewRoman,Bold" w:hAnsi="Arial" w:cs="Arial"/>
                <w:vertAlign w:val="superscript"/>
              </w:rPr>
              <w:t>c</w:t>
            </w:r>
            <w:r w:rsidRPr="00841B3C">
              <w:rPr>
                <w:rFonts w:ascii="Arial" w:eastAsia="TimesNewRoman,Bold" w:hAnsi="Arial" w:cs="Arial"/>
                <w:b/>
                <w:bCs/>
              </w:rPr>
              <w:t xml:space="preserve"> </w:t>
            </w:r>
            <w:r w:rsidRPr="00841B3C">
              <w:rPr>
                <w:rFonts w:ascii="Arial" w:eastAsia="TimesNewRoman" w:hAnsi="Arial" w:cs="Arial"/>
              </w:rPr>
              <w:t xml:space="preserve">– </w:t>
            </w:r>
            <w:r w:rsidR="00895410">
              <w:rPr>
                <w:rFonts w:ascii="Arial" w:eastAsia="TimesNewRoman" w:hAnsi="Arial" w:cs="Arial"/>
              </w:rPr>
              <w:t>0</w:t>
            </w:r>
            <w:r w:rsidRPr="00841B3C">
              <w:rPr>
                <w:rFonts w:ascii="Arial" w:eastAsia="TimesNewRoman" w:hAnsi="Arial" w:cs="Arial"/>
              </w:rPr>
              <w:t>.5 mg</w:t>
            </w:r>
          </w:p>
        </w:tc>
      </w:tr>
      <w:tr w:rsidR="00FE088C" w14:paraId="0207159B" w14:textId="77777777" w:rsidTr="00602FD4">
        <w:trPr>
          <w:trHeight w:val="224"/>
        </w:trPr>
        <w:tc>
          <w:tcPr>
            <w:tcW w:w="2733" w:type="dxa"/>
          </w:tcPr>
          <w:p w14:paraId="2A9D80C8" w14:textId="62D98071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 xml:space="preserve">80 – 100 </w:t>
            </w:r>
          </w:p>
        </w:tc>
        <w:tc>
          <w:tcPr>
            <w:tcW w:w="2733" w:type="dxa"/>
          </w:tcPr>
          <w:p w14:paraId="77623100" w14:textId="77B746AB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4.4 – 5.5</w:t>
            </w:r>
          </w:p>
        </w:tc>
        <w:tc>
          <w:tcPr>
            <w:tcW w:w="1749" w:type="dxa"/>
          </w:tcPr>
          <w:p w14:paraId="0CFEBD9F" w14:textId="482E93A3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D</w:t>
            </w:r>
            <w:r w:rsidRPr="00C81945">
              <w:rPr>
                <w:rFonts w:ascii="Arial" w:eastAsia="TimesNewRoman" w:hAnsi="Arial" w:cs="Arial"/>
                <w:vertAlign w:val="superscript"/>
              </w:rPr>
              <w:t>b</w:t>
            </w:r>
            <w:r w:rsidRPr="00841B3C">
              <w:rPr>
                <w:rFonts w:ascii="Arial" w:eastAsia="TimesNewRoman" w:hAnsi="Arial" w:cs="Arial"/>
              </w:rPr>
              <w:t xml:space="preserve"> – 1 mg</w:t>
            </w:r>
          </w:p>
        </w:tc>
        <w:tc>
          <w:tcPr>
            <w:tcW w:w="1749" w:type="dxa"/>
          </w:tcPr>
          <w:p w14:paraId="23BD308A" w14:textId="6EDBBDFA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D</w:t>
            </w:r>
            <w:r w:rsidRPr="00C81945">
              <w:rPr>
                <w:rFonts w:ascii="Arial" w:eastAsia="TimesNewRoman" w:hAnsi="Arial" w:cs="Arial"/>
                <w:vertAlign w:val="superscript"/>
              </w:rPr>
              <w:t>b</w:t>
            </w:r>
            <w:r w:rsidRPr="00841B3C">
              <w:rPr>
                <w:rFonts w:ascii="Arial" w:eastAsia="TimesNewRoman" w:hAnsi="Arial" w:cs="Arial"/>
              </w:rPr>
              <w:t xml:space="preserve"> – 0.5 mg</w:t>
            </w:r>
          </w:p>
        </w:tc>
        <w:tc>
          <w:tcPr>
            <w:tcW w:w="1860" w:type="dxa"/>
          </w:tcPr>
          <w:p w14:paraId="2BFBE551" w14:textId="26E70982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No change</w:t>
            </w:r>
          </w:p>
        </w:tc>
      </w:tr>
      <w:tr w:rsidR="00FE088C" w14:paraId="57340F0D" w14:textId="77777777" w:rsidTr="00602FD4">
        <w:trPr>
          <w:trHeight w:val="236"/>
        </w:trPr>
        <w:tc>
          <w:tcPr>
            <w:tcW w:w="2733" w:type="dxa"/>
          </w:tcPr>
          <w:p w14:paraId="64D498F9" w14:textId="27DDB5F7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 xml:space="preserve">101 – 140 </w:t>
            </w:r>
          </w:p>
        </w:tc>
        <w:tc>
          <w:tcPr>
            <w:tcW w:w="2733" w:type="dxa"/>
          </w:tcPr>
          <w:p w14:paraId="4AFD751B" w14:textId="1EF25C97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5.6 – 7.7</w:t>
            </w:r>
          </w:p>
        </w:tc>
        <w:tc>
          <w:tcPr>
            <w:tcW w:w="1749" w:type="dxa"/>
          </w:tcPr>
          <w:p w14:paraId="788265D2" w14:textId="291B3F03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No change</w:t>
            </w:r>
          </w:p>
        </w:tc>
        <w:tc>
          <w:tcPr>
            <w:tcW w:w="1749" w:type="dxa"/>
          </w:tcPr>
          <w:p w14:paraId="3D892166" w14:textId="57FD6E0B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No change</w:t>
            </w:r>
          </w:p>
        </w:tc>
        <w:tc>
          <w:tcPr>
            <w:tcW w:w="1860" w:type="dxa"/>
          </w:tcPr>
          <w:p w14:paraId="50D3267D" w14:textId="3EC62FBA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D</w:t>
            </w:r>
            <w:r w:rsidRPr="00C81945">
              <w:rPr>
                <w:rFonts w:ascii="Arial" w:eastAsia="TimesNewRoman,Bold" w:hAnsi="Arial" w:cs="Arial"/>
                <w:vertAlign w:val="superscript"/>
              </w:rPr>
              <w:t>c</w:t>
            </w:r>
            <w:r w:rsidRPr="00841B3C">
              <w:rPr>
                <w:rFonts w:ascii="Arial" w:eastAsia="TimesNewRoman,Bold" w:hAnsi="Arial" w:cs="Arial"/>
                <w:b/>
                <w:bCs/>
              </w:rPr>
              <w:t xml:space="preserve"> </w:t>
            </w:r>
            <w:r w:rsidRPr="00841B3C">
              <w:rPr>
                <w:rFonts w:ascii="Arial" w:eastAsia="TimesNewRoman" w:hAnsi="Arial" w:cs="Arial"/>
              </w:rPr>
              <w:t>+ 0.25 mg</w:t>
            </w:r>
          </w:p>
        </w:tc>
      </w:tr>
      <w:tr w:rsidR="00FE088C" w14:paraId="0FD13774" w14:textId="77777777" w:rsidTr="00602FD4">
        <w:trPr>
          <w:trHeight w:val="224"/>
        </w:trPr>
        <w:tc>
          <w:tcPr>
            <w:tcW w:w="2733" w:type="dxa"/>
          </w:tcPr>
          <w:p w14:paraId="033254EC" w14:textId="504EDB7E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141 – 180</w:t>
            </w:r>
          </w:p>
        </w:tc>
        <w:tc>
          <w:tcPr>
            <w:tcW w:w="2733" w:type="dxa"/>
          </w:tcPr>
          <w:p w14:paraId="3CF08421" w14:textId="0727909D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7.8 – 10.0</w:t>
            </w:r>
          </w:p>
        </w:tc>
        <w:tc>
          <w:tcPr>
            <w:tcW w:w="1749" w:type="dxa"/>
          </w:tcPr>
          <w:p w14:paraId="7209A7C6" w14:textId="64365DA5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D</w:t>
            </w:r>
            <w:r w:rsidRPr="00C81945">
              <w:rPr>
                <w:rFonts w:ascii="Arial" w:eastAsia="TimesNewRoman" w:hAnsi="Arial" w:cs="Arial"/>
                <w:vertAlign w:val="superscript"/>
              </w:rPr>
              <w:t>b</w:t>
            </w:r>
            <w:r w:rsidRPr="00841B3C">
              <w:rPr>
                <w:rFonts w:ascii="Arial" w:eastAsia="TimesNewRoman" w:hAnsi="Arial" w:cs="Arial"/>
              </w:rPr>
              <w:t xml:space="preserve"> + </w:t>
            </w:r>
            <w:r w:rsidR="00602FD4">
              <w:rPr>
                <w:rFonts w:ascii="Arial" w:eastAsia="TimesNewRoman" w:hAnsi="Arial" w:cs="Arial"/>
              </w:rPr>
              <w:t>1</w:t>
            </w:r>
            <w:r w:rsidRPr="00841B3C">
              <w:rPr>
                <w:rFonts w:ascii="Arial" w:eastAsia="TimesNewRoman" w:hAnsi="Arial" w:cs="Arial"/>
              </w:rPr>
              <w:t xml:space="preserve"> mg</w:t>
            </w:r>
          </w:p>
        </w:tc>
        <w:tc>
          <w:tcPr>
            <w:tcW w:w="1749" w:type="dxa"/>
          </w:tcPr>
          <w:p w14:paraId="77765A33" w14:textId="3F45451B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D</w:t>
            </w:r>
            <w:r w:rsidRPr="00C81945">
              <w:rPr>
                <w:rFonts w:ascii="Arial" w:eastAsia="TimesNewRoman" w:hAnsi="Arial" w:cs="Arial"/>
                <w:vertAlign w:val="superscript"/>
              </w:rPr>
              <w:t>b</w:t>
            </w:r>
            <w:r w:rsidRPr="00841B3C">
              <w:rPr>
                <w:rFonts w:ascii="Arial" w:eastAsia="TimesNewRoman" w:hAnsi="Arial" w:cs="Arial"/>
              </w:rPr>
              <w:t xml:space="preserve"> + </w:t>
            </w:r>
            <w:r w:rsidR="00895410">
              <w:rPr>
                <w:rFonts w:ascii="Arial" w:eastAsia="TimesNewRoman" w:hAnsi="Arial" w:cs="Arial"/>
              </w:rPr>
              <w:t>0</w:t>
            </w:r>
            <w:r w:rsidRPr="00841B3C">
              <w:rPr>
                <w:rFonts w:ascii="Arial" w:eastAsia="TimesNewRoman" w:hAnsi="Arial" w:cs="Arial"/>
              </w:rPr>
              <w:t>.5 mg</w:t>
            </w:r>
          </w:p>
        </w:tc>
        <w:tc>
          <w:tcPr>
            <w:tcW w:w="1860" w:type="dxa"/>
          </w:tcPr>
          <w:p w14:paraId="126F5FB9" w14:textId="1B8D724D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D</w:t>
            </w:r>
            <w:r w:rsidRPr="00C81945">
              <w:rPr>
                <w:rFonts w:ascii="Arial" w:eastAsia="TimesNewRoman,Bold" w:hAnsi="Arial" w:cs="Arial"/>
                <w:vertAlign w:val="superscript"/>
              </w:rPr>
              <w:t>c</w:t>
            </w:r>
            <w:r w:rsidRPr="00841B3C">
              <w:rPr>
                <w:rFonts w:ascii="Arial" w:eastAsia="TimesNewRoman,Bold" w:hAnsi="Arial" w:cs="Arial"/>
                <w:b/>
                <w:bCs/>
              </w:rPr>
              <w:t xml:space="preserve"> </w:t>
            </w:r>
            <w:r w:rsidRPr="00841B3C">
              <w:rPr>
                <w:rFonts w:ascii="Arial" w:eastAsia="TimesNewRoman" w:hAnsi="Arial" w:cs="Arial"/>
              </w:rPr>
              <w:t>+ 0.</w:t>
            </w:r>
            <w:r w:rsidR="00895410">
              <w:rPr>
                <w:rFonts w:ascii="Arial" w:eastAsia="TimesNewRoman" w:hAnsi="Arial" w:cs="Arial"/>
              </w:rPr>
              <w:t>2</w:t>
            </w:r>
            <w:r w:rsidRPr="00841B3C">
              <w:rPr>
                <w:rFonts w:ascii="Arial" w:eastAsia="TimesNewRoman" w:hAnsi="Arial" w:cs="Arial"/>
              </w:rPr>
              <w:t>5 mg</w:t>
            </w:r>
          </w:p>
        </w:tc>
      </w:tr>
      <w:tr w:rsidR="00FE088C" w14:paraId="1AAB54B4" w14:textId="77777777" w:rsidTr="00602FD4">
        <w:trPr>
          <w:trHeight w:val="224"/>
        </w:trPr>
        <w:tc>
          <w:tcPr>
            <w:tcW w:w="2733" w:type="dxa"/>
          </w:tcPr>
          <w:p w14:paraId="68490779" w14:textId="14C361A7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&gt;180</w:t>
            </w:r>
          </w:p>
        </w:tc>
        <w:tc>
          <w:tcPr>
            <w:tcW w:w="2733" w:type="dxa"/>
          </w:tcPr>
          <w:p w14:paraId="54B09ED9" w14:textId="69DAF763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&gt;10.0</w:t>
            </w:r>
          </w:p>
        </w:tc>
        <w:tc>
          <w:tcPr>
            <w:tcW w:w="1749" w:type="dxa"/>
          </w:tcPr>
          <w:p w14:paraId="16CAC845" w14:textId="431A5260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D</w:t>
            </w:r>
            <w:r w:rsidRPr="00C81945">
              <w:rPr>
                <w:rFonts w:ascii="Arial" w:eastAsia="TimesNewRoman" w:hAnsi="Arial" w:cs="Arial"/>
                <w:vertAlign w:val="superscript"/>
              </w:rPr>
              <w:t>b</w:t>
            </w:r>
            <w:r w:rsidRPr="00841B3C">
              <w:rPr>
                <w:rFonts w:ascii="Arial" w:eastAsia="TimesNewRoman" w:hAnsi="Arial" w:cs="Arial"/>
              </w:rPr>
              <w:t xml:space="preserve"> + </w:t>
            </w:r>
            <w:r w:rsidR="00602FD4">
              <w:rPr>
                <w:rFonts w:ascii="Arial" w:eastAsia="TimesNewRoman" w:hAnsi="Arial" w:cs="Arial"/>
              </w:rPr>
              <w:t>2</w:t>
            </w:r>
            <w:r w:rsidRPr="00841B3C">
              <w:rPr>
                <w:rFonts w:ascii="Arial" w:eastAsia="TimesNewRoman" w:hAnsi="Arial" w:cs="Arial"/>
              </w:rPr>
              <w:t xml:space="preserve"> mg</w:t>
            </w:r>
          </w:p>
        </w:tc>
        <w:tc>
          <w:tcPr>
            <w:tcW w:w="1749" w:type="dxa"/>
          </w:tcPr>
          <w:p w14:paraId="7C71C5F2" w14:textId="3E0596B4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D</w:t>
            </w:r>
            <w:r w:rsidRPr="00C81945">
              <w:rPr>
                <w:rFonts w:ascii="Arial" w:eastAsia="TimesNewRoman" w:hAnsi="Arial" w:cs="Arial"/>
                <w:vertAlign w:val="superscript"/>
              </w:rPr>
              <w:t>b</w:t>
            </w:r>
            <w:r w:rsidRPr="00841B3C">
              <w:rPr>
                <w:rFonts w:ascii="Arial" w:eastAsia="TimesNewRoman" w:hAnsi="Arial" w:cs="Arial"/>
              </w:rPr>
              <w:t xml:space="preserve"> + </w:t>
            </w:r>
            <w:r w:rsidR="00895410">
              <w:rPr>
                <w:rFonts w:ascii="Arial" w:eastAsia="TimesNewRoman" w:hAnsi="Arial" w:cs="Arial"/>
              </w:rPr>
              <w:t>1</w:t>
            </w:r>
            <w:r w:rsidRPr="00841B3C">
              <w:rPr>
                <w:rFonts w:ascii="Arial" w:eastAsia="TimesNewRoman" w:hAnsi="Arial" w:cs="Arial"/>
              </w:rPr>
              <w:t xml:space="preserve"> mg</w:t>
            </w:r>
          </w:p>
        </w:tc>
        <w:tc>
          <w:tcPr>
            <w:tcW w:w="1860" w:type="dxa"/>
          </w:tcPr>
          <w:p w14:paraId="33C3CEAC" w14:textId="777340E4" w:rsidR="00FE088C" w:rsidRDefault="00FE088C" w:rsidP="00841B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  <w:iCs/>
              </w:rPr>
            </w:pPr>
            <w:r w:rsidRPr="00841B3C">
              <w:rPr>
                <w:rFonts w:ascii="Arial" w:eastAsia="TimesNewRoman" w:hAnsi="Arial" w:cs="Arial"/>
              </w:rPr>
              <w:t>D</w:t>
            </w:r>
            <w:r w:rsidRPr="00C81945">
              <w:rPr>
                <w:rFonts w:ascii="Arial" w:eastAsia="TimesNewRoman,Bold" w:hAnsi="Arial" w:cs="Arial"/>
                <w:vertAlign w:val="superscript"/>
              </w:rPr>
              <w:t>c</w:t>
            </w:r>
            <w:r w:rsidRPr="00841B3C">
              <w:rPr>
                <w:rFonts w:ascii="Arial" w:eastAsia="TimesNewRoman,Bold" w:hAnsi="Arial" w:cs="Arial"/>
                <w:b/>
                <w:bCs/>
              </w:rPr>
              <w:t xml:space="preserve"> </w:t>
            </w:r>
            <w:r w:rsidRPr="00841B3C">
              <w:rPr>
                <w:rFonts w:ascii="Arial" w:eastAsia="TimesNewRoman" w:hAnsi="Arial" w:cs="Arial"/>
              </w:rPr>
              <w:t>+ 0.5 mg</w:t>
            </w:r>
          </w:p>
        </w:tc>
      </w:tr>
    </w:tbl>
    <w:p w14:paraId="4BCEC809" w14:textId="77777777" w:rsidR="00650CA1" w:rsidRPr="0010619D" w:rsidRDefault="00650CA1" w:rsidP="00650CA1">
      <w:pPr>
        <w:autoSpaceDE w:val="0"/>
        <w:autoSpaceDN w:val="0"/>
        <w:adjustRightInd w:val="0"/>
        <w:spacing w:after="0"/>
        <w:rPr>
          <w:rFonts w:ascii="Arial" w:eastAsia="TimesNewRoman" w:hAnsi="Arial" w:cs="Arial"/>
        </w:rPr>
      </w:pPr>
      <w:r w:rsidRPr="00E23608">
        <w:rPr>
          <w:rFonts w:ascii="Arial" w:eastAsia="TimesNewRoman" w:hAnsi="Arial" w:cs="Arial"/>
          <w:vertAlign w:val="superscript"/>
        </w:rPr>
        <w:lastRenderedPageBreak/>
        <w:t>a</w:t>
      </w:r>
      <w:r w:rsidRPr="00841B3C">
        <w:rPr>
          <w:rFonts w:ascii="Arial" w:eastAsia="TimesNewRoman" w:hAnsi="Arial" w:cs="Arial"/>
        </w:rPr>
        <w:t xml:space="preserve"> </w:t>
      </w:r>
      <w:r w:rsidRPr="0010619D">
        <w:rPr>
          <w:rFonts w:ascii="Arial" w:eastAsia="TimesNewRoman" w:hAnsi="Arial" w:cs="Arial"/>
        </w:rPr>
        <w:t>Based on median fasting glucose from at least 3 fasting glucose readings from previous week.</w:t>
      </w:r>
    </w:p>
    <w:p w14:paraId="734721E6" w14:textId="60F4F696" w:rsidR="00650CA1" w:rsidRPr="0010619D" w:rsidRDefault="00650CA1" w:rsidP="00650CA1">
      <w:pPr>
        <w:autoSpaceDE w:val="0"/>
        <w:autoSpaceDN w:val="0"/>
        <w:adjustRightInd w:val="0"/>
        <w:spacing w:after="0"/>
        <w:rPr>
          <w:rFonts w:ascii="Arial" w:eastAsia="TimesNewRoman" w:hAnsi="Arial" w:cs="Arial"/>
        </w:rPr>
      </w:pPr>
      <w:r w:rsidRPr="0010619D">
        <w:rPr>
          <w:rFonts w:ascii="Arial" w:eastAsia="TimesNewRoman" w:hAnsi="Arial" w:cs="Arial"/>
          <w:vertAlign w:val="superscript"/>
        </w:rPr>
        <w:t>b</w:t>
      </w:r>
      <w:r w:rsidRPr="0010619D">
        <w:rPr>
          <w:rFonts w:ascii="Arial" w:eastAsia="TimesNewRoman" w:hAnsi="Arial" w:cs="Arial"/>
        </w:rPr>
        <w:t xml:space="preserve"> D for Week 1 (Visit 4) is 1/3 of the dose administered at (Week 0, Visit 3). D for Week 2 (Visit 5) is the dose</w:t>
      </w:r>
      <w:r w:rsidR="00AD4057">
        <w:rPr>
          <w:rFonts w:ascii="Arial" w:eastAsia="TimesNewRoman" w:hAnsi="Arial" w:cs="Arial"/>
        </w:rPr>
        <w:t xml:space="preserve"> </w:t>
      </w:r>
      <w:r w:rsidRPr="0010619D">
        <w:rPr>
          <w:rFonts w:ascii="Arial" w:eastAsia="TimesNewRoman" w:hAnsi="Arial" w:cs="Arial"/>
        </w:rPr>
        <w:t>administered at Week 1 (Visit 4).</w:t>
      </w:r>
    </w:p>
    <w:p w14:paraId="0AEC718A" w14:textId="77777777" w:rsidR="00650CA1" w:rsidRPr="0010619D" w:rsidRDefault="00650CA1" w:rsidP="00650CA1">
      <w:pPr>
        <w:autoSpaceDE w:val="0"/>
        <w:autoSpaceDN w:val="0"/>
        <w:adjustRightInd w:val="0"/>
        <w:spacing w:after="0"/>
        <w:rPr>
          <w:rFonts w:ascii="Arial" w:eastAsia="TimesNewRoman" w:hAnsi="Arial" w:cs="Arial"/>
        </w:rPr>
      </w:pPr>
      <w:r w:rsidRPr="0010619D">
        <w:rPr>
          <w:rFonts w:ascii="Arial" w:eastAsia="TimesNewRoman" w:hAnsi="Arial" w:cs="Arial"/>
          <w:vertAlign w:val="superscript"/>
        </w:rPr>
        <w:t>c</w:t>
      </w:r>
      <w:r w:rsidRPr="0010619D">
        <w:rPr>
          <w:rFonts w:ascii="Arial" w:eastAsia="TimesNewRoman" w:hAnsi="Arial" w:cs="Arial"/>
        </w:rPr>
        <w:t xml:space="preserve"> D for Subsequent Visits is the dose administered one week prior to the current visit.</w:t>
      </w:r>
    </w:p>
    <w:p w14:paraId="5C99A9E5" w14:textId="3DAA8E6E" w:rsidR="00650CA1" w:rsidRPr="0010619D" w:rsidRDefault="00650CA1" w:rsidP="00650CA1">
      <w:pPr>
        <w:autoSpaceDE w:val="0"/>
        <w:autoSpaceDN w:val="0"/>
        <w:adjustRightInd w:val="0"/>
        <w:spacing w:after="0"/>
        <w:rPr>
          <w:rFonts w:ascii="Arial" w:eastAsia="TimesNewRoman" w:hAnsi="Arial" w:cs="Arial"/>
        </w:rPr>
      </w:pPr>
      <w:r w:rsidRPr="0010619D">
        <w:rPr>
          <w:rFonts w:ascii="Arial" w:eastAsia="TimesNewRoman" w:hAnsi="Arial" w:cs="Arial"/>
          <w:vertAlign w:val="superscript"/>
        </w:rPr>
        <w:t>d</w:t>
      </w:r>
      <w:r w:rsidRPr="0010619D">
        <w:rPr>
          <w:rFonts w:ascii="Arial" w:eastAsia="TimesNewRoman" w:hAnsi="Arial" w:cs="Arial"/>
        </w:rPr>
        <w:t xml:space="preserve"> The </w:t>
      </w:r>
      <w:r>
        <w:rPr>
          <w:rFonts w:ascii="Arial" w:eastAsia="TimesNewRoman" w:hAnsi="Arial" w:cs="Arial"/>
        </w:rPr>
        <w:t>BIF</w:t>
      </w:r>
      <w:r w:rsidRPr="0010619D">
        <w:rPr>
          <w:rFonts w:ascii="Arial" w:eastAsia="TimesNewRoman" w:hAnsi="Arial" w:cs="Arial"/>
        </w:rPr>
        <w:t xml:space="preserve"> dose may not be increased if any SMG reading was documented at ≤70 mg/dL (&lt;3.9 mmol/L)</w:t>
      </w:r>
      <w:r w:rsidR="00AD4057">
        <w:rPr>
          <w:rFonts w:ascii="Arial" w:eastAsia="TimesNewRoman" w:hAnsi="Arial" w:cs="Arial"/>
        </w:rPr>
        <w:t xml:space="preserve"> </w:t>
      </w:r>
      <w:r w:rsidR="00AD4057" w:rsidRPr="0010619D">
        <w:rPr>
          <w:rFonts w:ascii="Arial" w:eastAsia="TimesNewRoman" w:hAnsi="Arial" w:cs="Arial"/>
        </w:rPr>
        <w:t>at any time in the preceding week</w:t>
      </w:r>
      <w:r w:rsidR="003B7EF3">
        <w:rPr>
          <w:rFonts w:ascii="Arial" w:eastAsia="TimesNewRoman" w:hAnsi="Arial" w:cs="Arial"/>
        </w:rPr>
        <w:t xml:space="preserve"> </w:t>
      </w:r>
      <w:r w:rsidRPr="0010619D">
        <w:rPr>
          <w:rFonts w:ascii="Arial" w:eastAsia="TimesNewRoman" w:hAnsi="Arial" w:cs="Arial"/>
        </w:rPr>
        <w:t xml:space="preserve">at any time in the preceding week. </w:t>
      </w:r>
      <w:r w:rsidRPr="0010619D">
        <w:rPr>
          <w:rFonts w:ascii="Arial" w:eastAsia="TimesNewRoman" w:hAnsi="Arial" w:cs="Arial"/>
        </w:rPr>
        <w:t>If multiple episodes of hypoglycemia with SMG ≤70 mg/dL (&lt;3.9 mmol/L)</w:t>
      </w:r>
      <w:r>
        <w:rPr>
          <w:rFonts w:ascii="Arial" w:eastAsia="TimesNewRoman" w:hAnsi="Arial" w:cs="Arial"/>
        </w:rPr>
        <w:t xml:space="preserve"> </w:t>
      </w:r>
      <w:r w:rsidRPr="0010619D">
        <w:rPr>
          <w:rFonts w:ascii="Arial" w:eastAsia="TimesNewRoman" w:hAnsi="Arial" w:cs="Arial"/>
        </w:rPr>
        <w:t>were recorded, follow guidance for dose reduction according to the applicable Visit number. Dose decreases of 1</w:t>
      </w:r>
      <w:r>
        <w:rPr>
          <w:rFonts w:ascii="Arial" w:eastAsia="TimesNewRoman" w:hAnsi="Arial" w:cs="Arial"/>
        </w:rPr>
        <w:t xml:space="preserve"> </w:t>
      </w:r>
      <w:r w:rsidRPr="0010619D">
        <w:rPr>
          <w:rFonts w:ascii="Arial" w:eastAsia="TimesNewRoman" w:hAnsi="Arial" w:cs="Arial"/>
        </w:rPr>
        <w:t>mg should be made when severe hypoglycemia (requiring assistance) occurred, or if any SMG was documented</w:t>
      </w:r>
      <w:r>
        <w:rPr>
          <w:rFonts w:ascii="Arial" w:eastAsia="TimesNewRoman" w:hAnsi="Arial" w:cs="Arial"/>
        </w:rPr>
        <w:t xml:space="preserve"> </w:t>
      </w:r>
      <w:r w:rsidRPr="0010619D">
        <w:rPr>
          <w:rFonts w:ascii="Arial" w:eastAsia="TimesNewRoman" w:hAnsi="Arial" w:cs="Arial"/>
        </w:rPr>
        <w:t>at ≤54 mg/dL (≤3.0 mmol/L) in the preceding week.</w:t>
      </w:r>
    </w:p>
    <w:p w14:paraId="4CC31B7B" w14:textId="3584137E" w:rsidR="00C81945" w:rsidRDefault="00AD4057" w:rsidP="00AD4057">
      <w:pPr>
        <w:autoSpaceDE w:val="0"/>
        <w:autoSpaceDN w:val="0"/>
        <w:adjustRightInd w:val="0"/>
        <w:rPr>
          <w:rFonts w:ascii="Arial" w:eastAsia="TimesNewRoman" w:hAnsi="Arial" w:cs="Arial"/>
          <w:i/>
          <w:iCs/>
        </w:rPr>
      </w:pPr>
      <w:r w:rsidRPr="0010619D">
        <w:rPr>
          <w:rFonts w:ascii="Arial" w:eastAsia="TimesNewRoman" w:hAnsi="Arial" w:cs="Arial"/>
          <w:vertAlign w:val="superscript"/>
        </w:rPr>
        <w:t>e</w:t>
      </w:r>
      <w:r w:rsidRPr="0010619D">
        <w:rPr>
          <w:rFonts w:ascii="Arial" w:eastAsia="TimesNewRoman" w:hAnsi="Arial" w:cs="Arial"/>
        </w:rPr>
        <w:t xml:space="preserve"> Conversions from mg/dL to mmol/L were rounded off to prevent overlap between threshold ranges and to</w:t>
      </w:r>
      <w:r>
        <w:rPr>
          <w:rFonts w:ascii="Arial" w:eastAsia="TimesNewRoman" w:hAnsi="Arial" w:cs="Arial"/>
        </w:rPr>
        <w:t xml:space="preserve"> </w:t>
      </w:r>
      <w:r w:rsidRPr="0010619D">
        <w:rPr>
          <w:rFonts w:ascii="Arial" w:eastAsia="TimesNewRoman" w:hAnsi="Arial" w:cs="Arial"/>
        </w:rPr>
        <w:t>address that the glucose meter displays 1 significant digit after the decimal when reporting mmol/L readings.</w:t>
      </w:r>
    </w:p>
    <w:p w14:paraId="21BD4484" w14:textId="0A43F09A" w:rsidR="00841B3C" w:rsidRPr="00841B3C" w:rsidRDefault="00841B3C" w:rsidP="00841B3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5A51ECEE" w14:textId="79FAF4B7" w:rsidR="00841B3C" w:rsidRPr="00660ECB" w:rsidRDefault="00660ECB" w:rsidP="00841B3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</w:rPr>
      </w:pPr>
      <w:r w:rsidRPr="00660ECB">
        <w:rPr>
          <w:rFonts w:ascii="Arial" w:eastAsia="TimesNewRoman" w:hAnsi="Arial" w:cs="Arial"/>
          <w:i/>
          <w:iCs/>
        </w:rPr>
        <w:t xml:space="preserve">Week 2, </w:t>
      </w:r>
      <w:r w:rsidR="00841B3C" w:rsidRPr="00660ECB">
        <w:rPr>
          <w:rFonts w:ascii="Arial" w:eastAsia="TimesNewRoman" w:hAnsi="Arial" w:cs="Arial"/>
          <w:i/>
          <w:iCs/>
        </w:rPr>
        <w:t>Visit 5</w:t>
      </w:r>
      <w:r w:rsidRPr="00660ECB">
        <w:rPr>
          <w:rFonts w:ascii="Arial" w:eastAsia="TimesNewRoman" w:hAnsi="Arial" w:cs="Arial"/>
          <w:i/>
          <w:iCs/>
        </w:rPr>
        <w:t>:</w:t>
      </w:r>
    </w:p>
    <w:p w14:paraId="13FB5821" w14:textId="7D6A611F" w:rsidR="00841B3C" w:rsidRDefault="00841B3C" w:rsidP="00841B3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841B3C">
        <w:rPr>
          <w:rFonts w:ascii="Arial" w:eastAsia="TimesNewRoman" w:hAnsi="Arial" w:cs="Arial"/>
        </w:rPr>
        <w:t xml:space="preserve">Confirm the dose of </w:t>
      </w:r>
      <w:r w:rsidR="00660ECB">
        <w:rPr>
          <w:rFonts w:ascii="Arial" w:eastAsia="TimesNewRoman" w:hAnsi="Arial" w:cs="Arial"/>
        </w:rPr>
        <w:t>BIF</w:t>
      </w:r>
      <w:r w:rsidRPr="00841B3C">
        <w:rPr>
          <w:rFonts w:ascii="Arial" w:eastAsia="TimesNewRoman" w:hAnsi="Arial" w:cs="Arial"/>
        </w:rPr>
        <w:t xml:space="preserve"> mg administered at Visit 4.</w:t>
      </w:r>
    </w:p>
    <w:p w14:paraId="751CE622" w14:textId="77777777" w:rsidR="008C4267" w:rsidRPr="00841B3C" w:rsidRDefault="008C4267" w:rsidP="00841B3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2B3E500E" w14:textId="0207672B" w:rsidR="00841B3C" w:rsidRPr="00841B3C" w:rsidRDefault="00841B3C" w:rsidP="00660EC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841B3C">
        <w:rPr>
          <w:rFonts w:ascii="Arial" w:eastAsia="TimesNewRoman" w:hAnsi="Arial" w:cs="Arial"/>
        </w:rPr>
        <w:t xml:space="preserve">Use </w:t>
      </w:r>
      <w:r w:rsidR="00660ECB">
        <w:rPr>
          <w:rFonts w:ascii="Arial" w:eastAsia="TimesNewRoman" w:hAnsi="Arial" w:cs="Arial"/>
        </w:rPr>
        <w:t>the above table</w:t>
      </w:r>
      <w:r w:rsidRPr="00841B3C">
        <w:rPr>
          <w:rFonts w:ascii="Arial" w:eastAsia="TimesNewRoman" w:hAnsi="Arial" w:cs="Arial"/>
        </w:rPr>
        <w:t xml:space="preserve"> to determine the dose adjustment needed for Visit 5</w:t>
      </w:r>
      <w:r w:rsidR="00660ECB">
        <w:rPr>
          <w:rFonts w:ascii="Arial" w:eastAsia="TimesNewRoman" w:hAnsi="Arial" w:cs="Arial"/>
        </w:rPr>
        <w:t>.</w:t>
      </w:r>
      <w:r w:rsidRPr="00841B3C">
        <w:rPr>
          <w:rFonts w:ascii="Arial" w:eastAsia="TimesNewRoman" w:hAnsi="Arial" w:cs="Arial"/>
        </w:rPr>
        <w:t xml:space="preserve"> </w:t>
      </w:r>
    </w:p>
    <w:p w14:paraId="32D6444E" w14:textId="77777777" w:rsidR="00660ECB" w:rsidRDefault="00660ECB" w:rsidP="00841B3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</w:rPr>
      </w:pPr>
    </w:p>
    <w:p w14:paraId="5BDDF744" w14:textId="58073FFB" w:rsidR="00841B3C" w:rsidRPr="00841B3C" w:rsidRDefault="00660ECB" w:rsidP="00841B3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  <w:i/>
          <w:iCs/>
        </w:rPr>
        <w:t>Week 3</w:t>
      </w:r>
      <w:r w:rsidRPr="00660ECB">
        <w:rPr>
          <w:rFonts w:ascii="Arial" w:eastAsia="TimesNewRoman" w:hAnsi="Arial" w:cs="Arial"/>
          <w:i/>
          <w:iCs/>
        </w:rPr>
        <w:t xml:space="preserve">, </w:t>
      </w:r>
      <w:r w:rsidR="00841B3C" w:rsidRPr="00660ECB">
        <w:rPr>
          <w:rFonts w:ascii="Arial" w:eastAsia="TimesNewRoman" w:hAnsi="Arial" w:cs="Arial"/>
          <w:i/>
          <w:iCs/>
        </w:rPr>
        <w:t>Visit 6</w:t>
      </w:r>
      <w:r w:rsidRPr="00660ECB">
        <w:rPr>
          <w:rFonts w:ascii="Arial" w:eastAsia="TimesNewRoman" w:hAnsi="Arial" w:cs="Arial"/>
          <w:i/>
          <w:iCs/>
        </w:rPr>
        <w:t>:</w:t>
      </w:r>
    </w:p>
    <w:p w14:paraId="6D63D1D4" w14:textId="20DD6716" w:rsidR="00841B3C" w:rsidRDefault="00841B3C" w:rsidP="00841B3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841B3C">
        <w:rPr>
          <w:rFonts w:ascii="Arial" w:eastAsia="TimesNewRoman" w:hAnsi="Arial" w:cs="Arial"/>
        </w:rPr>
        <w:t xml:space="preserve">Confirm the dose of </w:t>
      </w:r>
      <w:r w:rsidR="00660ECB">
        <w:rPr>
          <w:rFonts w:ascii="Arial" w:eastAsia="TimesNewRoman" w:hAnsi="Arial" w:cs="Arial"/>
        </w:rPr>
        <w:t>BIF</w:t>
      </w:r>
      <w:r w:rsidRPr="00841B3C">
        <w:rPr>
          <w:rFonts w:ascii="Arial" w:eastAsia="TimesNewRoman" w:hAnsi="Arial" w:cs="Arial"/>
        </w:rPr>
        <w:t xml:space="preserve"> administered at Visit 5 (Week 2).</w:t>
      </w:r>
    </w:p>
    <w:p w14:paraId="68C88870" w14:textId="77777777" w:rsidR="008C4267" w:rsidRPr="00841B3C" w:rsidRDefault="008C4267" w:rsidP="00841B3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36D60AE4" w14:textId="1529AA30" w:rsidR="00841B3C" w:rsidRPr="00841B3C" w:rsidRDefault="00841B3C" w:rsidP="00841B3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841B3C">
        <w:rPr>
          <w:rFonts w:ascii="Arial" w:eastAsia="TimesNewRoman" w:hAnsi="Arial" w:cs="Arial"/>
        </w:rPr>
        <w:t xml:space="preserve">Use </w:t>
      </w:r>
      <w:r w:rsidR="00660ECB">
        <w:rPr>
          <w:rFonts w:ascii="Arial" w:eastAsia="TimesNewRoman" w:hAnsi="Arial" w:cs="Arial"/>
        </w:rPr>
        <w:t>the above table</w:t>
      </w:r>
      <w:r w:rsidRPr="00841B3C">
        <w:rPr>
          <w:rFonts w:ascii="Arial" w:eastAsia="TimesNewRoman" w:hAnsi="Arial" w:cs="Arial"/>
        </w:rPr>
        <w:t xml:space="preserve"> to determine the dose adjustment needed for Visit 6</w:t>
      </w:r>
      <w:r w:rsidR="00660ECB">
        <w:rPr>
          <w:rFonts w:ascii="Arial" w:eastAsia="TimesNewRoman" w:hAnsi="Arial" w:cs="Arial"/>
        </w:rPr>
        <w:t xml:space="preserve">. </w:t>
      </w:r>
    </w:p>
    <w:p w14:paraId="5A6CB603" w14:textId="77777777" w:rsidR="00660ECB" w:rsidRDefault="00660ECB" w:rsidP="00841B3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</w:rPr>
      </w:pPr>
    </w:p>
    <w:p w14:paraId="7C85B27F" w14:textId="4F499E6C" w:rsidR="00841B3C" w:rsidRPr="00841B3C" w:rsidRDefault="00841B3C" w:rsidP="00841B3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841B3C">
        <w:rPr>
          <w:rFonts w:ascii="Arial" w:eastAsia="TimesNewRoman" w:hAnsi="Arial" w:cs="Arial"/>
        </w:rPr>
        <w:t xml:space="preserve">Subsequent visits </w:t>
      </w:r>
      <w:r w:rsidR="00660ECB">
        <w:rPr>
          <w:rFonts w:ascii="Arial" w:eastAsia="TimesNewRoman" w:hAnsi="Arial" w:cs="Arial"/>
        </w:rPr>
        <w:t>were</w:t>
      </w:r>
      <w:r w:rsidRPr="00841B3C">
        <w:rPr>
          <w:rFonts w:ascii="Arial" w:eastAsia="TimesNewRoman" w:hAnsi="Arial" w:cs="Arial"/>
        </w:rPr>
        <w:t xml:space="preserve"> managed using the same approach as for Visit 6 (Week 3), always</w:t>
      </w:r>
    </w:p>
    <w:p w14:paraId="301DA17B" w14:textId="4DE45C18" w:rsidR="00841B3C" w:rsidRPr="00841B3C" w:rsidRDefault="00841B3C" w:rsidP="00841B3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841B3C">
        <w:rPr>
          <w:rFonts w:ascii="Arial" w:eastAsia="TimesNewRoman" w:hAnsi="Arial" w:cs="Arial"/>
        </w:rPr>
        <w:t xml:space="preserve">confirming the </w:t>
      </w:r>
      <w:r w:rsidR="00660ECB">
        <w:rPr>
          <w:rFonts w:ascii="Arial" w:eastAsia="TimesNewRoman" w:hAnsi="Arial" w:cs="Arial"/>
        </w:rPr>
        <w:t>BIF</w:t>
      </w:r>
      <w:r w:rsidRPr="00841B3C">
        <w:rPr>
          <w:rFonts w:ascii="Arial" w:eastAsia="TimesNewRoman" w:hAnsi="Arial" w:cs="Arial"/>
        </w:rPr>
        <w:t xml:space="preserve"> dose administered at the prior visit, the median fasting glucose</w:t>
      </w:r>
    </w:p>
    <w:p w14:paraId="7BC8C286" w14:textId="77777777" w:rsidR="00841B3C" w:rsidRPr="00841B3C" w:rsidRDefault="00841B3C" w:rsidP="00841B3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841B3C">
        <w:rPr>
          <w:rFonts w:ascii="Arial" w:eastAsia="TimesNewRoman" w:hAnsi="Arial" w:cs="Arial"/>
        </w:rPr>
        <w:t>during the week prior to the visits, and hypoglycemia status since the last dose of study drug.</w:t>
      </w:r>
    </w:p>
    <w:p w14:paraId="068F6341" w14:textId="77777777" w:rsidR="00660ECB" w:rsidRDefault="00660ECB" w:rsidP="00841B3C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</w:rPr>
      </w:pPr>
    </w:p>
    <w:p w14:paraId="5FDB7C86" w14:textId="160AAA6F" w:rsidR="00841B3C" w:rsidRPr="001E4F2B" w:rsidRDefault="00841B3C" w:rsidP="00841B3C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</w:rPr>
      </w:pPr>
      <w:r w:rsidRPr="001E4F2B">
        <w:rPr>
          <w:rFonts w:ascii="Arial" w:eastAsia="TimesNewRoman,Bold" w:hAnsi="Arial" w:cs="Arial"/>
          <w:b/>
          <w:bCs/>
        </w:rPr>
        <w:t>Insulin Degludec</w:t>
      </w:r>
    </w:p>
    <w:p w14:paraId="3239231E" w14:textId="77777777" w:rsidR="00F86B77" w:rsidRPr="001E4F2B" w:rsidRDefault="00F86B77" w:rsidP="00841B3C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</w:rPr>
      </w:pPr>
    </w:p>
    <w:p w14:paraId="68A337EA" w14:textId="73B2B9F2" w:rsidR="00F86B77" w:rsidRPr="00257220" w:rsidRDefault="00F86B77" w:rsidP="00F86B77">
      <w:pPr>
        <w:rPr>
          <w:rFonts w:ascii="Arial" w:hAnsi="Arial" w:cs="Arial"/>
        </w:rPr>
      </w:pPr>
      <w:r w:rsidRPr="00257220">
        <w:rPr>
          <w:rFonts w:ascii="Arial" w:hAnsi="Arial" w:cs="Arial"/>
        </w:rPr>
        <w:t xml:space="preserve">The treat-to-target </w:t>
      </w:r>
      <w:r w:rsidR="009F346A" w:rsidRPr="00257220">
        <w:rPr>
          <w:rFonts w:ascii="Arial" w:hAnsi="Arial" w:cs="Arial"/>
        </w:rPr>
        <w:t>fasting glucose</w:t>
      </w:r>
      <w:r w:rsidRPr="00257220">
        <w:rPr>
          <w:rFonts w:ascii="Arial" w:hAnsi="Arial" w:cs="Arial"/>
        </w:rPr>
        <w:t xml:space="preserve"> is 80-100 mg/dL (4.4 to &lt;5.6 mmol/L).  Dosed adjustments based on </w:t>
      </w:r>
      <w:r w:rsidR="009F346A" w:rsidRPr="00257220">
        <w:rPr>
          <w:rFonts w:ascii="Arial" w:hAnsi="Arial" w:cs="Arial"/>
        </w:rPr>
        <w:t>fasting glucose</w:t>
      </w:r>
      <w:r w:rsidRPr="00257220">
        <w:rPr>
          <w:rFonts w:ascii="Arial" w:hAnsi="Arial" w:cs="Arial"/>
        </w:rPr>
        <w:t xml:space="preserve"> occurred approximately weekly consistent with specified protocol visits according to the table below.</w:t>
      </w:r>
    </w:p>
    <w:p w14:paraId="58A50C82" w14:textId="00272E5B" w:rsidR="00F86B77" w:rsidRPr="00257220" w:rsidRDefault="00F86B77" w:rsidP="00F86B77">
      <w:pPr>
        <w:rPr>
          <w:rFonts w:ascii="Arial" w:hAnsi="Arial" w:cs="Arial"/>
        </w:rPr>
      </w:pPr>
      <w:r w:rsidRPr="00257220">
        <w:rPr>
          <w:rFonts w:ascii="Arial" w:hAnsi="Arial" w:cs="Arial"/>
        </w:rPr>
        <w:t xml:space="preserve">The insulin degludec dose should not have been increased if any SMG was documented at ≤70 mg/dL (&lt;3.9 mmol/L) at any time in the preceding week. </w:t>
      </w:r>
    </w:p>
    <w:p w14:paraId="4EDDC4C5" w14:textId="0DA3DE8E" w:rsidR="00F86B77" w:rsidRPr="00257220" w:rsidRDefault="00F86B77" w:rsidP="00F86B77">
      <w:pPr>
        <w:rPr>
          <w:rFonts w:ascii="Arial" w:hAnsi="Arial" w:cs="Arial"/>
        </w:rPr>
      </w:pPr>
      <w:r w:rsidRPr="00257220">
        <w:rPr>
          <w:rFonts w:ascii="Arial" w:hAnsi="Arial" w:cs="Arial"/>
        </w:rPr>
        <w:t xml:space="preserve">The insulin degludec dose increase was determined using the median of the </w:t>
      </w:r>
      <w:r w:rsidR="009F346A" w:rsidRPr="00257220">
        <w:rPr>
          <w:rFonts w:ascii="Arial" w:hAnsi="Arial" w:cs="Arial"/>
        </w:rPr>
        <w:t>fasting glucose</w:t>
      </w:r>
      <w:r w:rsidRPr="00257220">
        <w:rPr>
          <w:rFonts w:ascii="Arial" w:hAnsi="Arial" w:cs="Arial"/>
        </w:rPr>
        <w:t xml:space="preserve"> of the last 3 days.  If the patient only measured their </w:t>
      </w:r>
      <w:r w:rsidR="009F346A" w:rsidRPr="00257220">
        <w:rPr>
          <w:rFonts w:ascii="Arial" w:hAnsi="Arial" w:cs="Arial"/>
        </w:rPr>
        <w:t>fasting glucose</w:t>
      </w:r>
      <w:r w:rsidRPr="00257220">
        <w:rPr>
          <w:rFonts w:ascii="Arial" w:hAnsi="Arial" w:cs="Arial"/>
        </w:rPr>
        <w:t xml:space="preserve"> on 2 of the last 3 days, then the lesser of those 2 </w:t>
      </w:r>
      <w:r w:rsidR="009F346A" w:rsidRPr="00257220">
        <w:rPr>
          <w:rFonts w:ascii="Arial" w:hAnsi="Arial" w:cs="Arial"/>
        </w:rPr>
        <w:t>fasting glucose</w:t>
      </w:r>
      <w:r w:rsidRPr="00257220">
        <w:rPr>
          <w:rFonts w:ascii="Arial" w:hAnsi="Arial" w:cs="Arial"/>
        </w:rPr>
        <w:t xml:space="preserve"> values was to be used for dose assessment.  If only 1 </w:t>
      </w:r>
      <w:r w:rsidR="009F346A" w:rsidRPr="00257220">
        <w:rPr>
          <w:rFonts w:ascii="Arial" w:hAnsi="Arial" w:cs="Arial"/>
        </w:rPr>
        <w:t>fasting glucose</w:t>
      </w:r>
      <w:r w:rsidRPr="00257220">
        <w:rPr>
          <w:rFonts w:ascii="Arial" w:hAnsi="Arial" w:cs="Arial"/>
        </w:rPr>
        <w:t xml:space="preserve"> measurement is available for the last 3 days, then the investigator was to use his/her discretion in determining whether there should be a dose adjustment based on that single </w:t>
      </w:r>
      <w:r w:rsidR="009F346A" w:rsidRPr="00257220">
        <w:rPr>
          <w:rFonts w:ascii="Arial" w:hAnsi="Arial" w:cs="Arial"/>
        </w:rPr>
        <w:t>fasting glucose</w:t>
      </w:r>
      <w:r w:rsidRPr="00257220">
        <w:rPr>
          <w:rFonts w:ascii="Arial" w:hAnsi="Arial" w:cs="Arial"/>
        </w:rPr>
        <w:t xml:space="preserve"> value.</w:t>
      </w:r>
    </w:p>
    <w:p w14:paraId="2CD2A8D6" w14:textId="458B443D" w:rsidR="00AD4057" w:rsidRDefault="00F86B77" w:rsidP="00F86B77">
      <w:pPr>
        <w:rPr>
          <w:rFonts w:ascii="Arial" w:hAnsi="Arial" w:cs="Arial"/>
        </w:rPr>
      </w:pPr>
      <w:r w:rsidRPr="00257220">
        <w:rPr>
          <w:rFonts w:ascii="Arial" w:hAnsi="Arial" w:cs="Arial"/>
        </w:rPr>
        <w:t>Dose decreases of 2 to 4 U per adjustment were permitted if multiple episodes of hypoglycemia with SMG ≤70 mg/dL (&lt;3.9 mmol/L) were recorded, if severe hypoglycemia (requiring assistance) occurred, or if any SMG was documented at ≤54 mg/dL (≤3.0 mmol/L) in the preceding week.</w:t>
      </w:r>
    </w:p>
    <w:p w14:paraId="0AC5B467" w14:textId="77777777" w:rsidR="00AD4057" w:rsidRDefault="00AD405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299"/>
        <w:gridCol w:w="2408"/>
        <w:gridCol w:w="4378"/>
      </w:tblGrid>
      <w:tr w:rsidR="00F86B77" w:rsidRPr="001E4F2B" w14:paraId="476CF69F" w14:textId="77777777" w:rsidTr="00650CA1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E978" w14:textId="5D5E2700" w:rsidR="00F86B77" w:rsidRPr="00257220" w:rsidRDefault="00F86B77" w:rsidP="008504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257220">
              <w:rPr>
                <w:rFonts w:ascii="Arial" w:hAnsi="Arial" w:cs="Arial"/>
                <w:b/>
              </w:rPr>
              <w:t xml:space="preserve">If the median </w:t>
            </w:r>
            <w:r w:rsidR="009F346A" w:rsidRPr="00257220">
              <w:rPr>
                <w:rFonts w:ascii="Arial" w:hAnsi="Arial" w:cs="Arial"/>
                <w:b/>
              </w:rPr>
              <w:t>fasting glucose</w:t>
            </w:r>
            <w:r w:rsidRPr="00257220">
              <w:rPr>
                <w:rFonts w:ascii="Arial" w:hAnsi="Arial" w:cs="Arial"/>
                <w:b/>
              </w:rPr>
              <w:t xml:space="preserve"> is…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5E43" w14:textId="77777777" w:rsidR="00F86B77" w:rsidRPr="00257220" w:rsidRDefault="00F86B77" w:rsidP="008504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257220">
              <w:rPr>
                <w:rFonts w:ascii="Arial" w:hAnsi="Arial" w:cs="Arial"/>
                <w:b/>
              </w:rPr>
              <w:t xml:space="preserve">Then… </w:t>
            </w:r>
          </w:p>
        </w:tc>
      </w:tr>
      <w:tr w:rsidR="00F86B77" w:rsidRPr="001E4F2B" w14:paraId="3A368D05" w14:textId="77777777" w:rsidTr="00650CA1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1A23" w14:textId="77777777" w:rsidR="00F86B77" w:rsidRPr="00257220" w:rsidRDefault="00F86B77" w:rsidP="008504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257220">
              <w:rPr>
                <w:rFonts w:ascii="Arial" w:hAnsi="Arial" w:cs="Arial"/>
                <w:b/>
              </w:rPr>
              <w:t>mg/dL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8B86" w14:textId="77777777" w:rsidR="00F86B77" w:rsidRPr="00257220" w:rsidRDefault="00F86B77" w:rsidP="008504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257220">
              <w:rPr>
                <w:rFonts w:ascii="Arial" w:hAnsi="Arial" w:cs="Arial"/>
                <w:b/>
              </w:rPr>
              <w:t>mmol/L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9994" w14:textId="77777777" w:rsidR="00F86B77" w:rsidRPr="00257220" w:rsidRDefault="00F86B77" w:rsidP="008504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F86B77" w:rsidRPr="001E4F2B" w14:paraId="261D897E" w14:textId="77777777" w:rsidTr="00650CA1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D2E1" w14:textId="77777777" w:rsidR="00F86B77" w:rsidRPr="00257220" w:rsidRDefault="00F86B77" w:rsidP="008504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257220">
              <w:rPr>
                <w:rFonts w:ascii="Arial" w:hAnsi="Arial" w:cs="Arial"/>
              </w:rPr>
              <w:lastRenderedPageBreak/>
              <w:t>80-100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E851" w14:textId="77777777" w:rsidR="00F86B77" w:rsidRPr="00257220" w:rsidRDefault="00F86B77" w:rsidP="008504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257220">
              <w:rPr>
                <w:rFonts w:ascii="Arial" w:hAnsi="Arial" w:cs="Arial"/>
              </w:rPr>
              <w:t>4.4 to &lt;5.6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3874" w14:textId="77777777" w:rsidR="00F86B77" w:rsidRPr="00257220" w:rsidRDefault="00F86B77" w:rsidP="008504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257220">
              <w:rPr>
                <w:rFonts w:ascii="Arial" w:hAnsi="Arial" w:cs="Arial"/>
              </w:rPr>
              <w:t>No change</w:t>
            </w:r>
          </w:p>
        </w:tc>
      </w:tr>
      <w:tr w:rsidR="00F86B77" w:rsidRPr="001E4F2B" w14:paraId="09EE53F6" w14:textId="77777777" w:rsidTr="00650CA1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67F6" w14:textId="77777777" w:rsidR="00F86B77" w:rsidRPr="00257220" w:rsidRDefault="00F86B77" w:rsidP="008504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257220">
              <w:rPr>
                <w:rFonts w:ascii="Arial" w:hAnsi="Arial" w:cs="Arial"/>
              </w:rPr>
              <w:t>101-120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2342" w14:textId="77777777" w:rsidR="00F86B77" w:rsidRPr="00257220" w:rsidRDefault="00F86B77" w:rsidP="008504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257220">
              <w:rPr>
                <w:rFonts w:ascii="Arial" w:hAnsi="Arial" w:cs="Arial"/>
              </w:rPr>
              <w:t>5.6 to 6.7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5B1E" w14:textId="77777777" w:rsidR="00F86B77" w:rsidRPr="00257220" w:rsidRDefault="00F86B77" w:rsidP="008504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257220">
              <w:rPr>
                <w:rFonts w:ascii="Arial" w:hAnsi="Arial" w:cs="Arial"/>
              </w:rPr>
              <w:t>increase the dose by 2 U.</w:t>
            </w:r>
          </w:p>
        </w:tc>
      </w:tr>
      <w:tr w:rsidR="00F86B77" w:rsidRPr="001E4F2B" w14:paraId="5FF5F196" w14:textId="77777777" w:rsidTr="00650CA1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B17A" w14:textId="77777777" w:rsidR="00F86B77" w:rsidRPr="00257220" w:rsidRDefault="00F86B77" w:rsidP="008504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257220">
              <w:rPr>
                <w:rFonts w:ascii="Arial" w:hAnsi="Arial" w:cs="Arial"/>
              </w:rPr>
              <w:t>121-140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5623" w14:textId="77777777" w:rsidR="00F86B77" w:rsidRPr="00257220" w:rsidRDefault="00F86B77" w:rsidP="008504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257220">
              <w:rPr>
                <w:rFonts w:ascii="Arial" w:hAnsi="Arial" w:cs="Arial"/>
              </w:rPr>
              <w:t>6.8 to 7.8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34C3" w14:textId="77777777" w:rsidR="00F86B77" w:rsidRPr="00257220" w:rsidRDefault="00F86B77" w:rsidP="008504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257220">
              <w:rPr>
                <w:rFonts w:ascii="Arial" w:hAnsi="Arial" w:cs="Arial"/>
              </w:rPr>
              <w:t>increase the dose by 4 U.</w:t>
            </w:r>
          </w:p>
        </w:tc>
      </w:tr>
      <w:tr w:rsidR="00F86B77" w:rsidRPr="001E4F2B" w14:paraId="1CEDADFD" w14:textId="77777777" w:rsidTr="00650CA1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E2AD" w14:textId="77777777" w:rsidR="00F86B77" w:rsidRPr="00257220" w:rsidRDefault="00F86B77" w:rsidP="008504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257220">
              <w:rPr>
                <w:rFonts w:ascii="Arial" w:hAnsi="Arial" w:cs="Arial"/>
              </w:rPr>
              <w:t>141-180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0938" w14:textId="77777777" w:rsidR="00F86B77" w:rsidRPr="00257220" w:rsidRDefault="00F86B77" w:rsidP="008504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257220">
              <w:rPr>
                <w:rFonts w:ascii="Arial" w:hAnsi="Arial" w:cs="Arial"/>
              </w:rPr>
              <w:t>7.9 to 10.0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ABA5" w14:textId="77777777" w:rsidR="00F86B77" w:rsidRPr="00257220" w:rsidRDefault="00F86B77" w:rsidP="008504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257220">
              <w:rPr>
                <w:rFonts w:ascii="Arial" w:hAnsi="Arial" w:cs="Arial"/>
              </w:rPr>
              <w:t>increase the dose by 6 U.</w:t>
            </w:r>
          </w:p>
        </w:tc>
      </w:tr>
      <w:tr w:rsidR="00F86B77" w:rsidRPr="001E4F2B" w14:paraId="361BE45D" w14:textId="77777777" w:rsidTr="00650CA1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7C9A" w14:textId="77777777" w:rsidR="00F86B77" w:rsidRPr="00257220" w:rsidRDefault="00F86B77" w:rsidP="008504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257220">
              <w:rPr>
                <w:rFonts w:ascii="Arial" w:hAnsi="Arial" w:cs="Arial"/>
              </w:rPr>
              <w:t>&gt;180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1AE7" w14:textId="77777777" w:rsidR="00F86B77" w:rsidRPr="00257220" w:rsidRDefault="00F86B77" w:rsidP="008504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257220">
              <w:rPr>
                <w:rFonts w:ascii="Arial" w:hAnsi="Arial" w:cs="Arial"/>
              </w:rPr>
              <w:t>&gt; 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EC89" w14:textId="77777777" w:rsidR="00F86B77" w:rsidRPr="00257220" w:rsidRDefault="00F86B77" w:rsidP="008504F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257220">
              <w:rPr>
                <w:rFonts w:ascii="Arial" w:hAnsi="Arial" w:cs="Arial"/>
              </w:rPr>
              <w:t>increase the dose by 8 U.</w:t>
            </w:r>
          </w:p>
        </w:tc>
      </w:tr>
    </w:tbl>
    <w:p w14:paraId="6844B416" w14:textId="77777777" w:rsidR="00F86B77" w:rsidRDefault="00F86B77" w:rsidP="0078626C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NewRoman" w:hAnsi="Arial" w:cs="Arial"/>
        </w:rPr>
      </w:pPr>
    </w:p>
    <w:p w14:paraId="1C3FAA32" w14:textId="5894D2AF" w:rsidR="00841B3C" w:rsidRPr="00897278" w:rsidRDefault="00A67095">
      <w:pPr>
        <w:rPr>
          <w:rFonts w:ascii="Arial" w:hAnsi="Arial" w:cs="Arial"/>
          <w:b/>
          <w:bCs/>
        </w:rPr>
      </w:pPr>
      <w:r w:rsidRPr="00897278">
        <w:rPr>
          <w:rFonts w:ascii="Arial" w:hAnsi="Arial" w:cs="Arial"/>
          <w:b/>
          <w:bCs/>
        </w:rPr>
        <w:t>References</w:t>
      </w:r>
    </w:p>
    <w:p w14:paraId="4927F480" w14:textId="780D7B11" w:rsidR="00A67095" w:rsidRPr="00841B3C" w:rsidRDefault="006F1485">
      <w:pPr>
        <w:rPr>
          <w:rFonts w:ascii="Arial" w:hAnsi="Arial" w:cs="Arial"/>
        </w:rPr>
      </w:pPr>
      <w:bookmarkStart w:id="0" w:name="_Hlk126515852"/>
      <w:r w:rsidRPr="00CD331C">
        <w:t xml:space="preserve">Frias J, Chien J, Zhang Q, Chigutsa E, Landschulz W, Syring K, Wullenweber P, Haupt A, Kazda C. A Multi-centre, Open-label, Randomised Phase 2 Study to Investigate the Safety and Efficacy of Once Weekly Basal Insulin Fc (BIF) in Patients with Type 2 Diabetes Mellitus (T2DM) Previously Treated with Basal Insulin [In Press]. </w:t>
      </w:r>
      <w:r w:rsidRPr="00B002BC">
        <w:rPr>
          <w:lang w:val="fr-FR"/>
        </w:rPr>
        <w:t>Lancet Diabetes Endocrinol 2023</w:t>
      </w:r>
      <w:r>
        <w:rPr>
          <w:lang w:val="fr-FR"/>
        </w:rPr>
        <w:t>.</w:t>
      </w:r>
      <w:bookmarkEnd w:id="0"/>
    </w:p>
    <w:p w14:paraId="236DAD43" w14:textId="77777777" w:rsidR="00841B3C" w:rsidRPr="00841B3C" w:rsidRDefault="00841B3C">
      <w:pPr>
        <w:rPr>
          <w:rFonts w:ascii="Arial" w:hAnsi="Arial" w:cs="Arial"/>
        </w:rPr>
      </w:pPr>
    </w:p>
    <w:sectPr w:rsidR="00841B3C" w:rsidRPr="00841B3C" w:rsidSect="004C3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382"/>
    <w:multiLevelType w:val="hybridMultilevel"/>
    <w:tmpl w:val="8F72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18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3C"/>
    <w:rsid w:val="00002F05"/>
    <w:rsid w:val="000241BF"/>
    <w:rsid w:val="000965A3"/>
    <w:rsid w:val="0010619D"/>
    <w:rsid w:val="0014111C"/>
    <w:rsid w:val="001761F8"/>
    <w:rsid w:val="001973A3"/>
    <w:rsid w:val="00197E6F"/>
    <w:rsid w:val="001E4F2B"/>
    <w:rsid w:val="00214DA7"/>
    <w:rsid w:val="00257220"/>
    <w:rsid w:val="002D5B72"/>
    <w:rsid w:val="00335EB3"/>
    <w:rsid w:val="003A535E"/>
    <w:rsid w:val="003A72ED"/>
    <w:rsid w:val="003B677F"/>
    <w:rsid w:val="003B7EF3"/>
    <w:rsid w:val="00407D89"/>
    <w:rsid w:val="004A6A45"/>
    <w:rsid w:val="004C3CFD"/>
    <w:rsid w:val="004C6E90"/>
    <w:rsid w:val="005D753A"/>
    <w:rsid w:val="005E2DC5"/>
    <w:rsid w:val="005F6252"/>
    <w:rsid w:val="005F65F9"/>
    <w:rsid w:val="00602FD4"/>
    <w:rsid w:val="006167E4"/>
    <w:rsid w:val="00643565"/>
    <w:rsid w:val="00650CA1"/>
    <w:rsid w:val="00660ECB"/>
    <w:rsid w:val="006A3778"/>
    <w:rsid w:val="006F1485"/>
    <w:rsid w:val="006F2BD0"/>
    <w:rsid w:val="007578B5"/>
    <w:rsid w:val="00781E36"/>
    <w:rsid w:val="0078626C"/>
    <w:rsid w:val="00841B3C"/>
    <w:rsid w:val="00860B54"/>
    <w:rsid w:val="0087158B"/>
    <w:rsid w:val="00894BDB"/>
    <w:rsid w:val="00895410"/>
    <w:rsid w:val="00897278"/>
    <w:rsid w:val="008C4267"/>
    <w:rsid w:val="009928BA"/>
    <w:rsid w:val="009C5FFE"/>
    <w:rsid w:val="009F346A"/>
    <w:rsid w:val="00A54BD5"/>
    <w:rsid w:val="00A67095"/>
    <w:rsid w:val="00AD4057"/>
    <w:rsid w:val="00AD67B5"/>
    <w:rsid w:val="00AF751F"/>
    <w:rsid w:val="00B5209B"/>
    <w:rsid w:val="00BA64B2"/>
    <w:rsid w:val="00BC5555"/>
    <w:rsid w:val="00C032EB"/>
    <w:rsid w:val="00C630AB"/>
    <w:rsid w:val="00C81945"/>
    <w:rsid w:val="00CB3079"/>
    <w:rsid w:val="00CE6CD4"/>
    <w:rsid w:val="00CE7593"/>
    <w:rsid w:val="00D173B6"/>
    <w:rsid w:val="00D75C10"/>
    <w:rsid w:val="00DB1722"/>
    <w:rsid w:val="00DB6CCA"/>
    <w:rsid w:val="00E2047F"/>
    <w:rsid w:val="00E23608"/>
    <w:rsid w:val="00EA35E6"/>
    <w:rsid w:val="00EB1D5D"/>
    <w:rsid w:val="00EC030F"/>
    <w:rsid w:val="00ED042C"/>
    <w:rsid w:val="00EE0276"/>
    <w:rsid w:val="00EE67AB"/>
    <w:rsid w:val="00EF1DA5"/>
    <w:rsid w:val="00F86B77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D805"/>
  <w15:chartTrackingRefBased/>
  <w15:docId w15:val="{BD09C758-7B7D-48F3-A334-80BD604C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Vijay 1,Header Table"/>
    <w:basedOn w:val="TableNormal"/>
    <w:uiPriority w:val="59"/>
    <w:rsid w:val="0084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77F"/>
    <w:pPr>
      <w:ind w:left="720"/>
      <w:contextualSpacing/>
    </w:pPr>
  </w:style>
  <w:style w:type="paragraph" w:styleId="Revision">
    <w:name w:val="Revision"/>
    <w:hidden/>
    <w:uiPriority w:val="99"/>
    <w:semiHidden/>
    <w:rsid w:val="00CE6CD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4C6E9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C6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6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E9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C6E9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93D83CE566B4A9F1879DC12A3D20B" ma:contentTypeVersion="16" ma:contentTypeDescription="Create a new document." ma:contentTypeScope="" ma:versionID="a3aaa5434e6ab2ddbeeb67a468b994f0">
  <xsd:schema xmlns:xsd="http://www.w3.org/2001/XMLSchema" xmlns:xs="http://www.w3.org/2001/XMLSchema" xmlns:p="http://schemas.microsoft.com/office/2006/metadata/properties" xmlns:ns2="048aa933-a7ac-4a2d-b57e-fa7d0e9e0572" xmlns:ns3="555ca13c-1689-4d8e-b131-8b591d97e6ed" targetNamespace="http://schemas.microsoft.com/office/2006/metadata/properties" ma:root="true" ma:fieldsID="884119be9d1f0ea38ab65c65c1d1c78b" ns2:_="" ns3:_="">
    <xsd:import namespace="048aa933-a7ac-4a2d-b57e-fa7d0e9e0572"/>
    <xsd:import namespace="555ca13c-1689-4d8e-b131-8b591d97e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aa933-a7ac-4a2d-b57e-fa7d0e9e0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adb9bf-65a7-4dcd-b9fe-2cabe70ed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ca13c-1689-4d8e-b131-8b591d97e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a7a456-6e1d-4ed7-8fb1-df8275c8c02d}" ma:internalName="TaxCatchAll" ma:showField="CatchAllData" ma:web="555ca13c-1689-4d8e-b131-8b591d97e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5ca13c-1689-4d8e-b131-8b591d97e6ed" xsi:nil="true"/>
    <lcf76f155ced4ddcb4097134ff3c332f xmlns="048aa933-a7ac-4a2d-b57e-fa7d0e9e05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EF14C1-5902-4049-943A-901D52427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45891-B5D4-43B7-AAD7-0F4984FA9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aa933-a7ac-4a2d-b57e-fa7d0e9e0572"/>
    <ds:schemaRef ds:uri="555ca13c-1689-4d8e-b131-8b591d97e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6D04C-965C-4206-9BDF-01F0F864FD2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048aa933-a7ac-4a2d-b57e-fa7d0e9e0572"/>
    <ds:schemaRef ds:uri="555ca13c-1689-4d8e-b131-8b591d97e6e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Syring</dc:creator>
  <cp:keywords/>
  <dc:description/>
  <cp:lastModifiedBy>Alastair Knights</cp:lastModifiedBy>
  <cp:revision>36</cp:revision>
  <dcterms:created xsi:type="dcterms:W3CDTF">2022-12-07T13:46:00Z</dcterms:created>
  <dcterms:modified xsi:type="dcterms:W3CDTF">2023-02-10T17:43:00Z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0x01010081493D83CE566B4A9F1879DC12A3D20B</vt:lpwstr>
  </property>
  <property fmtid="{D5CDD505-2E9C-101B-9397-08002B2CF9AE}" pid="3" name="MediaServiceImageTags">
    <vt:lpwstr/>
  </property>
</Properties>
</file>