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2DAE" w14:textId="77777777" w:rsidR="00207A57" w:rsidRPr="003B1328" w:rsidRDefault="00207A57" w:rsidP="003F176B">
      <w:pPr>
        <w:spacing w:line="276" w:lineRule="auto"/>
        <w:rPr>
          <w:b/>
        </w:rPr>
      </w:pPr>
      <w:r w:rsidRPr="003B1328">
        <w:rPr>
          <w:b/>
        </w:rPr>
        <w:t>Electronic supplementary material</w:t>
      </w:r>
    </w:p>
    <w:p w14:paraId="4237C926" w14:textId="77777777" w:rsidR="00E165A2" w:rsidRPr="003B1328" w:rsidRDefault="00E165A2" w:rsidP="003F176B">
      <w:pPr>
        <w:spacing w:line="276" w:lineRule="auto"/>
        <w:rPr>
          <w:b/>
        </w:rPr>
      </w:pPr>
    </w:p>
    <w:p w14:paraId="7C7E55CC" w14:textId="77777777" w:rsidR="00E165A2" w:rsidRPr="003B1328" w:rsidRDefault="00E165A2" w:rsidP="003F176B">
      <w:pPr>
        <w:spacing w:line="276" w:lineRule="auto"/>
        <w:rPr>
          <w:b/>
        </w:rPr>
      </w:pPr>
      <w:r w:rsidRPr="003B1328">
        <w:rPr>
          <w:b/>
        </w:rPr>
        <w:t>Methods</w:t>
      </w:r>
    </w:p>
    <w:p w14:paraId="60BE537B" w14:textId="77777777" w:rsidR="00E165A2" w:rsidRPr="003B1328" w:rsidRDefault="00E165A2" w:rsidP="003F176B">
      <w:pPr>
        <w:spacing w:line="276" w:lineRule="auto"/>
        <w:rPr>
          <w:b/>
        </w:rPr>
      </w:pPr>
    </w:p>
    <w:p w14:paraId="6F87C410" w14:textId="77777777" w:rsidR="00C05ABC" w:rsidRPr="003B1328" w:rsidRDefault="00C05ABC" w:rsidP="00C05ABC">
      <w:pPr>
        <w:spacing w:line="360" w:lineRule="auto"/>
        <w:rPr>
          <w:rFonts w:cstheme="minorHAnsi"/>
          <w:b/>
        </w:rPr>
      </w:pPr>
      <w:r w:rsidRPr="003B1328">
        <w:rPr>
          <w:rFonts w:cstheme="minorHAnsi"/>
          <w:b/>
        </w:rPr>
        <w:t xml:space="preserve">Assessment of T1D Genetic Risk score </w:t>
      </w:r>
    </w:p>
    <w:p w14:paraId="46799944" w14:textId="77777777" w:rsidR="00C05ABC" w:rsidRPr="008A018C" w:rsidRDefault="00C05ABC" w:rsidP="00C05ABC">
      <w:pPr>
        <w:spacing w:line="360" w:lineRule="auto"/>
        <w:rPr>
          <w:rFonts w:cstheme="minorHAnsi"/>
          <w:b/>
        </w:rPr>
      </w:pPr>
    </w:p>
    <w:p w14:paraId="41F99E7E" w14:textId="71DE2FAC" w:rsidR="00C05ABC" w:rsidRPr="008A018C" w:rsidRDefault="00C05ABC" w:rsidP="00C05ABC">
      <w:pPr>
        <w:spacing w:line="360" w:lineRule="auto"/>
        <w:rPr>
          <w:rFonts w:cstheme="minorHAnsi"/>
        </w:rPr>
      </w:pPr>
      <w:r w:rsidRPr="008A018C">
        <w:rPr>
          <w:rFonts w:eastAsia="Times New Roman" w:cstheme="minorHAnsi"/>
          <w:lang w:eastAsia="en-GB"/>
        </w:rPr>
        <w:t xml:space="preserve">We extracted DNA from all participants whole blood EDTA </w:t>
      </w:r>
      <w:proofErr w:type="gramStart"/>
      <w:r w:rsidRPr="008A018C">
        <w:rPr>
          <w:rFonts w:eastAsia="Times New Roman" w:cstheme="minorHAnsi"/>
          <w:lang w:eastAsia="en-GB"/>
        </w:rPr>
        <w:t>samples, and</w:t>
      </w:r>
      <w:proofErr w:type="gramEnd"/>
      <w:r w:rsidRPr="008A018C">
        <w:rPr>
          <w:rFonts w:eastAsia="Times New Roman" w:cstheme="minorHAnsi"/>
          <w:lang w:eastAsia="en-GB"/>
        </w:rPr>
        <w:t xml:space="preserve"> performed genotyping using illumine GSA2 genome wide genotyping array </w:t>
      </w:r>
      <w:r w:rsidRPr="008A018C">
        <w:rPr>
          <w:rFonts w:cstheme="minorHAnsi"/>
          <w:shd w:val="clear" w:color="auto" w:fill="FFFFFF"/>
        </w:rPr>
        <w:t xml:space="preserve">with 1,697,069 genotyped variants, including 748,291 with minor allele frequency &lt;0.01 </w:t>
      </w:r>
      <w:r w:rsidRPr="008A018C">
        <w:rPr>
          <w:rFonts w:eastAsia="Times New Roman" w:cstheme="minorHAnsi"/>
          <w:lang w:eastAsia="en-GB"/>
        </w:rPr>
        <w:t>as previously described</w:t>
      </w:r>
      <w:r w:rsidRPr="008A018C">
        <w:rPr>
          <w:rFonts w:eastAsia="Times New Roman" w:cstheme="minorHAnsi"/>
          <w:lang w:eastAsia="en-GB"/>
        </w:rPr>
        <w:fldChar w:fldCharType="begin">
          <w:fldData xml:space="preserve">PEVuZE5vdGU+PENpdGU+PEF1dGhvcj5PcmFtPC9BdXRob3I+PFllYXI+MjAyMjwvWWVhcj48UmVj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</w:fldData>
        </w:fldChar>
      </w:r>
      <w:r w:rsidR="00640881">
        <w:rPr>
          <w:rFonts w:eastAsia="Times New Roman" w:cstheme="minorHAnsi"/>
          <w:lang w:eastAsia="en-GB"/>
        </w:rPr>
        <w:instrText xml:space="preserve"> ADDIN EN.CITE </w:instrText>
      </w:r>
      <w:r w:rsidR="00640881">
        <w:rPr>
          <w:rFonts w:eastAsia="Times New Roman" w:cstheme="minorHAnsi"/>
          <w:lang w:eastAsia="en-GB"/>
        </w:rPr>
        <w:fldChar w:fldCharType="begin">
          <w:fldData xml:space="preserve">PEVuZE5vdGU+PENpdGU+PEF1dGhvcj5PcmFtPC9BdXRob3I+PFllYXI+MjAyMjwvWWVhcj48UmVj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</w:fldData>
        </w:fldChar>
      </w:r>
      <w:r w:rsidR="00640881">
        <w:rPr>
          <w:rFonts w:eastAsia="Times New Roman" w:cstheme="minorHAnsi"/>
          <w:lang w:eastAsia="en-GB"/>
        </w:rPr>
        <w:instrText xml:space="preserve"> ADDIN EN.CITE.DATA </w:instrText>
      </w:r>
      <w:r w:rsidR="00640881">
        <w:rPr>
          <w:rFonts w:eastAsia="Times New Roman" w:cstheme="minorHAnsi"/>
          <w:lang w:eastAsia="en-GB"/>
        </w:rPr>
      </w:r>
      <w:r w:rsidR="00640881">
        <w:rPr>
          <w:rFonts w:eastAsia="Times New Roman" w:cstheme="minorHAnsi"/>
          <w:lang w:eastAsia="en-GB"/>
        </w:rPr>
        <w:fldChar w:fldCharType="end"/>
      </w:r>
      <w:r w:rsidRPr="008A018C">
        <w:rPr>
          <w:rFonts w:eastAsia="Times New Roman" w:cstheme="minorHAnsi"/>
          <w:lang w:eastAsia="en-GB"/>
        </w:rPr>
      </w:r>
      <w:r w:rsidRPr="008A018C">
        <w:rPr>
          <w:rFonts w:eastAsia="Times New Roman" w:cstheme="minorHAnsi"/>
          <w:lang w:eastAsia="en-GB"/>
        </w:rPr>
        <w:fldChar w:fldCharType="separate"/>
      </w:r>
      <w:r w:rsidR="00640881">
        <w:rPr>
          <w:rFonts w:eastAsia="Times New Roman" w:cstheme="minorHAnsi"/>
          <w:noProof/>
          <w:lang w:eastAsia="en-GB"/>
        </w:rPr>
        <w:t>(1; 2)</w:t>
      </w:r>
      <w:r w:rsidRPr="008A018C">
        <w:rPr>
          <w:rFonts w:eastAsia="Times New Roman" w:cstheme="minorHAnsi"/>
          <w:lang w:eastAsia="en-GB"/>
        </w:rPr>
        <w:fldChar w:fldCharType="end"/>
      </w:r>
      <w:r w:rsidRPr="008A018C">
        <w:rPr>
          <w:rFonts w:eastAsia="Times New Roman" w:cstheme="minorHAnsi"/>
          <w:lang w:eastAsia="en-GB"/>
        </w:rPr>
        <w:t xml:space="preserve">. </w:t>
      </w:r>
      <w:r w:rsidRPr="008A018C">
        <w:rPr>
          <w:rFonts w:cstheme="minorHAnsi"/>
          <w:shd w:val="clear" w:color="auto" w:fill="FFFFFF"/>
        </w:rPr>
        <w:t>Genotyping</w:t>
      </w:r>
      <w:r>
        <w:rPr>
          <w:rFonts w:cstheme="minorHAnsi"/>
          <w:shd w:val="clear" w:color="auto" w:fill="FFFFFF"/>
        </w:rPr>
        <w:t xml:space="preserve"> was performed</w:t>
      </w:r>
      <w:r w:rsidRPr="008A018C">
        <w:rPr>
          <w:rFonts w:cstheme="minorHAnsi"/>
          <w:shd w:val="clear" w:color="auto" w:fill="FFFFFF"/>
        </w:rPr>
        <w:t xml:space="preserve"> </w:t>
      </w:r>
      <w:r>
        <w:rPr>
          <w:rFonts w:cstheme="minorHAnsi"/>
          <w:shd w:val="clear" w:color="auto" w:fill="FFFFFF"/>
        </w:rPr>
        <w:t xml:space="preserve">at Erasmus on an </w:t>
      </w:r>
      <w:proofErr w:type="spellStart"/>
      <w:r>
        <w:rPr>
          <w:rFonts w:cstheme="minorHAnsi"/>
          <w:shd w:val="clear" w:color="auto" w:fill="FFFFFF"/>
        </w:rPr>
        <w:t>Ilumina</w:t>
      </w:r>
      <w:proofErr w:type="spellEnd"/>
      <w:r>
        <w:rPr>
          <w:rFonts w:cstheme="minorHAnsi"/>
          <w:shd w:val="clear" w:color="auto" w:fill="FFFFFF"/>
        </w:rPr>
        <w:t xml:space="preserve"> Global screening array version 2 with </w:t>
      </w:r>
      <w:r w:rsidRPr="008A018C">
        <w:rPr>
          <w:rFonts w:cstheme="minorHAnsi"/>
          <w:shd w:val="clear" w:color="auto" w:fill="FFFFFF"/>
        </w:rPr>
        <w:t xml:space="preserve">preliminary quality control checks performed at Exeter University. </w:t>
      </w:r>
      <w:r w:rsidRPr="008A018C">
        <w:rPr>
          <w:rFonts w:eastAsia="Times New Roman" w:cstheme="minorHAnsi"/>
          <w:lang w:eastAsia="en-GB"/>
        </w:rPr>
        <w:t xml:space="preserve">The HLA haplotype score (HLA DR haplotype from tag variants) was added to </w:t>
      </w:r>
      <w:r w:rsidRPr="008A018C">
        <w:rPr>
          <w:rFonts w:eastAsia="ScalaLancetPro" w:cstheme="minorHAnsi"/>
        </w:rPr>
        <w:t>the score of the remaining</w:t>
      </w:r>
      <w:r w:rsidRPr="008A018C">
        <w:rPr>
          <w:rFonts w:eastAsia="ScalaLancetPro" w:cstheme="minorHAnsi"/>
          <w:i/>
          <w:iCs/>
        </w:rPr>
        <w:t xml:space="preserve"> </w:t>
      </w:r>
      <w:r w:rsidRPr="008A018C">
        <w:rPr>
          <w:rFonts w:eastAsia="ScalaLancetPro" w:cstheme="minorHAnsi"/>
        </w:rPr>
        <w:t>variants</w:t>
      </w:r>
      <w:r w:rsidRPr="008A018C">
        <w:rPr>
          <w:rFonts w:eastAsia="Times New Roman" w:cstheme="minorHAnsi"/>
          <w:lang w:eastAsia="en-GB"/>
        </w:rPr>
        <w:t xml:space="preserve"> each multiplied by the</w:t>
      </w:r>
      <w:r w:rsidRPr="008A018C">
        <w:rPr>
          <w:rFonts w:eastAsia="ScalaLancetPro" w:cstheme="minorHAnsi"/>
        </w:rPr>
        <w:t xml:space="preserve"> natural log of the odds ratio and finally </w:t>
      </w:r>
      <w:r w:rsidRPr="008A018C">
        <w:rPr>
          <w:rFonts w:eastAsia="Times New Roman" w:cstheme="minorHAnsi"/>
          <w:lang w:eastAsia="en-GB"/>
        </w:rPr>
        <w:t>divided by the number of alleles</w:t>
      </w:r>
      <w:r w:rsidRPr="008A018C">
        <w:rPr>
          <w:rFonts w:cstheme="minorHAnsi"/>
        </w:rPr>
        <w:t>. T1DGRS calculation was not performed if genotyping results were missing for either of the two alleles with the greatest weighting (DR3/DR4-DQ8 or HLA</w:t>
      </w:r>
      <w:r>
        <w:rPr>
          <w:rFonts w:cstheme="minorHAnsi"/>
        </w:rPr>
        <w:t>-</w:t>
      </w:r>
      <w:r w:rsidRPr="008A018C">
        <w:rPr>
          <w:rFonts w:cstheme="minorHAnsi"/>
        </w:rPr>
        <w:t>DRB1</w:t>
      </w:r>
      <w:r>
        <w:rPr>
          <w:rFonts w:cstheme="minorHAnsi"/>
        </w:rPr>
        <w:t>-</w:t>
      </w:r>
      <w:r w:rsidRPr="008A018C">
        <w:rPr>
          <w:rFonts w:cstheme="minorHAnsi"/>
        </w:rPr>
        <w:t>15) or if more than two of any other SNPs were missing</w:t>
      </w:r>
      <w:r w:rsidRPr="008A018C">
        <w:rPr>
          <w:rFonts w:cstheme="minorHAnsi"/>
        </w:rPr>
        <w:fldChar w:fldCharType="begin">
          <w:fldData xml:space="preserve">PEVuZE5vdGU+PENpdGU+PEF1dGhvcj5PcmFtPC9BdXRob3I+PFllYXI+MjAyMjwvWWVhcj48UmVj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</w:fldData>
        </w:fldChar>
      </w:r>
      <w:r w:rsidR="00640881">
        <w:rPr>
          <w:rFonts w:cstheme="minorHAnsi"/>
        </w:rPr>
        <w:instrText xml:space="preserve"> ADDIN EN.CITE </w:instrText>
      </w:r>
      <w:r w:rsidR="00640881">
        <w:rPr>
          <w:rFonts w:cstheme="minorHAnsi"/>
        </w:rPr>
        <w:fldChar w:fldCharType="begin">
          <w:fldData xml:space="preserve">PEVuZE5vdGU+PENpdGU+PEF1dGhvcj5PcmFtPC9BdXRob3I+PFllYXI+MjAyMjwvWWVhcj48UmVj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</w:fldData>
        </w:fldChar>
      </w:r>
      <w:r w:rsidR="00640881">
        <w:rPr>
          <w:rFonts w:cstheme="minorHAnsi"/>
        </w:rPr>
        <w:instrText xml:space="preserve"> ADDIN EN.CITE.DATA </w:instrText>
      </w:r>
      <w:r w:rsidR="00640881">
        <w:rPr>
          <w:rFonts w:cstheme="minorHAnsi"/>
        </w:rPr>
      </w:r>
      <w:r w:rsidR="00640881">
        <w:rPr>
          <w:rFonts w:cstheme="minorHAnsi"/>
        </w:rPr>
        <w:fldChar w:fldCharType="end"/>
      </w:r>
      <w:r w:rsidRPr="008A018C">
        <w:rPr>
          <w:rFonts w:cstheme="minorHAnsi"/>
        </w:rPr>
      </w:r>
      <w:r w:rsidRPr="008A018C">
        <w:rPr>
          <w:rFonts w:cstheme="minorHAnsi"/>
        </w:rPr>
        <w:fldChar w:fldCharType="separate"/>
      </w:r>
      <w:r w:rsidR="00640881">
        <w:rPr>
          <w:rFonts w:cstheme="minorHAnsi"/>
          <w:noProof/>
        </w:rPr>
        <w:t>(1)</w:t>
      </w:r>
      <w:r w:rsidRPr="008A018C">
        <w:rPr>
          <w:rFonts w:cstheme="minorHAnsi"/>
        </w:rPr>
        <w:fldChar w:fldCharType="end"/>
      </w:r>
      <w:r w:rsidRPr="008A018C">
        <w:rPr>
          <w:rFonts w:cstheme="minorHAnsi"/>
        </w:rPr>
        <w:t xml:space="preserve">. </w:t>
      </w:r>
    </w:p>
    <w:p w14:paraId="713165D2" w14:textId="15AE74AA" w:rsidR="00E165A2" w:rsidRDefault="00E165A2" w:rsidP="003F176B">
      <w:pPr>
        <w:spacing w:line="276" w:lineRule="auto"/>
        <w:rPr>
          <w:b/>
          <w:sz w:val="24"/>
          <w:szCs w:val="24"/>
        </w:rPr>
      </w:pPr>
      <w:r>
        <w:rPr>
          <w:b/>
          <w:sz w:val="24"/>
          <w:szCs w:val="24"/>
        </w:rPr>
        <w:br w:type="page"/>
      </w:r>
    </w:p>
    <w:p w14:paraId="192D53B1" w14:textId="0D903AEE" w:rsidR="003E6E13" w:rsidRPr="00182589" w:rsidRDefault="00207A57" w:rsidP="003F176B">
      <w:pPr>
        <w:spacing w:line="276" w:lineRule="auto"/>
        <w:rPr>
          <w:rFonts w:eastAsia="Arial" w:cs="Arial"/>
          <w:sz w:val="24"/>
          <w:szCs w:val="24"/>
        </w:rPr>
      </w:pPr>
      <w:r w:rsidRPr="00182589">
        <w:rPr>
          <w:b/>
          <w:sz w:val="24"/>
          <w:szCs w:val="24"/>
        </w:rPr>
        <w:lastRenderedPageBreak/>
        <w:t>ESM table 1</w:t>
      </w:r>
      <w:r w:rsidRPr="00182589">
        <w:rPr>
          <w:sz w:val="24"/>
          <w:szCs w:val="24"/>
        </w:rPr>
        <w:t xml:space="preserve">: </w:t>
      </w:r>
      <w:r w:rsidR="000032FD" w:rsidRPr="00182589">
        <w:rPr>
          <w:sz w:val="24"/>
          <w:szCs w:val="24"/>
        </w:rPr>
        <w:t>B</w:t>
      </w:r>
      <w:r w:rsidRPr="00182589">
        <w:rPr>
          <w:sz w:val="24"/>
          <w:szCs w:val="24"/>
        </w:rPr>
        <w:t xml:space="preserve">aseline clinical characteristics of the </w:t>
      </w:r>
      <w:r w:rsidR="00FA46D2" w:rsidRPr="00182589">
        <w:rPr>
          <w:sz w:val="24"/>
          <w:szCs w:val="24"/>
        </w:rPr>
        <w:t xml:space="preserve">entire </w:t>
      </w:r>
      <w:proofErr w:type="spellStart"/>
      <w:r w:rsidRPr="00182589">
        <w:rPr>
          <w:sz w:val="24"/>
          <w:szCs w:val="24"/>
        </w:rPr>
        <w:t>StartRight</w:t>
      </w:r>
      <w:proofErr w:type="spellEnd"/>
      <w:r w:rsidRPr="00182589">
        <w:rPr>
          <w:sz w:val="24"/>
          <w:szCs w:val="24"/>
        </w:rPr>
        <w:t xml:space="preserve"> study split by median age of diagnosis of those positive for ≥2 islet autoantibodies. Results shown are percentage for binary outcomes and mean for continuous data (95% CI). * Severe insulin deficiency defined as </w:t>
      </w:r>
      <w:r w:rsidRPr="00182589">
        <w:rPr>
          <w:rFonts w:eastAsia="Arial" w:cs="Arial"/>
          <w:sz w:val="24"/>
          <w:szCs w:val="24"/>
        </w:rPr>
        <w:t>C-peptide &lt;200pmol/l.</w:t>
      </w:r>
    </w:p>
    <w:tbl>
      <w:tblPr>
        <w:tblW w:w="9214" w:type="dxa"/>
        <w:tblCellMar>
          <w:left w:w="0" w:type="dxa"/>
          <w:right w:w="0" w:type="dxa"/>
        </w:tblCellMar>
        <w:tblLook w:val="0420" w:firstRow="1" w:lastRow="0" w:firstColumn="0" w:lastColumn="0" w:noHBand="0" w:noVBand="1"/>
      </w:tblPr>
      <w:tblGrid>
        <w:gridCol w:w="3462"/>
        <w:gridCol w:w="2380"/>
        <w:gridCol w:w="2380"/>
        <w:gridCol w:w="992"/>
      </w:tblGrid>
      <w:tr w:rsidR="00182589" w:rsidRPr="00182589" w14:paraId="65D7070C" w14:textId="77777777" w:rsidTr="000423B1">
        <w:trPr>
          <w:trHeight w:val="464"/>
        </w:trPr>
        <w:tc>
          <w:tcPr>
            <w:tcW w:w="346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F05ADB" w14:textId="77777777" w:rsidR="00585BC7" w:rsidRPr="00182589" w:rsidRDefault="00585BC7" w:rsidP="00585BC7">
            <w:pPr>
              <w:spacing w:after="0"/>
              <w:rPr>
                <w:rFonts w:ascii="Arial" w:eastAsia="Times New Roman" w:hAnsi="Arial" w:cs="Arial"/>
                <w:sz w:val="20"/>
                <w:szCs w:val="20"/>
                <w:lang w:eastAsia="en-GB"/>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C1C6D5" w14:textId="50687525" w:rsidR="00585BC7" w:rsidRPr="00182589" w:rsidRDefault="00585BC7" w:rsidP="0004507A">
            <w:pPr>
              <w:spacing w:after="0"/>
              <w:jc w:val="center"/>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Diabetes diagnosed &lt;=35</w:t>
            </w:r>
            <w:r w:rsidR="005E0948" w:rsidRPr="00182589">
              <w:rPr>
                <w:rFonts w:ascii="Arial" w:eastAsia="Times New Roman" w:hAnsi="Arial" w:cs="Arial"/>
                <w:b/>
                <w:bCs/>
                <w:kern w:val="24"/>
                <w:sz w:val="20"/>
                <w:szCs w:val="20"/>
                <w:lang w:eastAsia="en-GB"/>
              </w:rPr>
              <w:t>,</w:t>
            </w:r>
            <w:r w:rsidR="0004507A" w:rsidRPr="00182589">
              <w:rPr>
                <w:rFonts w:ascii="Arial" w:eastAsia="Times New Roman" w:hAnsi="Arial" w:cs="Arial"/>
                <w:b/>
                <w:bCs/>
                <w:kern w:val="24"/>
                <w:sz w:val="20"/>
                <w:szCs w:val="20"/>
                <w:lang w:eastAsia="en-GB"/>
              </w:rPr>
              <w:t xml:space="preserve"> </w:t>
            </w:r>
            <w:r w:rsidRPr="00182589">
              <w:rPr>
                <w:rFonts w:ascii="Arial" w:eastAsia="Times New Roman" w:hAnsi="Arial" w:cs="Arial"/>
                <w:b/>
                <w:bCs/>
                <w:kern w:val="24"/>
                <w:sz w:val="20"/>
                <w:szCs w:val="20"/>
                <w:lang w:eastAsia="en-GB"/>
              </w:rPr>
              <w:t>n=4</w:t>
            </w:r>
            <w:r w:rsidR="00472D1C" w:rsidRPr="00182589">
              <w:rPr>
                <w:rFonts w:ascii="Arial" w:eastAsia="Times New Roman" w:hAnsi="Arial" w:cs="Arial"/>
                <w:b/>
                <w:bCs/>
                <w:kern w:val="24"/>
                <w:sz w:val="20"/>
                <w:szCs w:val="20"/>
                <w:lang w:eastAsia="en-GB"/>
              </w:rPr>
              <w:t>7</w:t>
            </w:r>
            <w:r w:rsidRPr="00182589">
              <w:rPr>
                <w:rFonts w:ascii="Arial" w:eastAsia="Times New Roman" w:hAnsi="Arial" w:cs="Arial"/>
                <w:b/>
                <w:bCs/>
                <w:kern w:val="24"/>
                <w:sz w:val="20"/>
                <w:szCs w:val="20"/>
                <w:lang w:eastAsia="en-GB"/>
              </w:rPr>
              <w:t>0</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8A35C6" w14:textId="5B9724B7" w:rsidR="00585BC7" w:rsidRPr="00182589" w:rsidRDefault="00585BC7" w:rsidP="0004507A">
            <w:pPr>
              <w:spacing w:after="0"/>
              <w:jc w:val="center"/>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Diabetes diagnosed &gt;35</w:t>
            </w:r>
            <w:r w:rsidR="005E0948" w:rsidRPr="00182589">
              <w:rPr>
                <w:rFonts w:ascii="Arial" w:eastAsia="Times New Roman" w:hAnsi="Arial" w:cs="Arial"/>
                <w:b/>
                <w:bCs/>
                <w:kern w:val="24"/>
                <w:sz w:val="20"/>
                <w:szCs w:val="20"/>
                <w:lang w:eastAsia="en-GB"/>
              </w:rPr>
              <w:t xml:space="preserve">, </w:t>
            </w:r>
            <w:r w:rsidRPr="00182589">
              <w:rPr>
                <w:rFonts w:ascii="Arial" w:eastAsia="Times New Roman" w:hAnsi="Arial" w:cs="Arial"/>
                <w:b/>
                <w:bCs/>
                <w:kern w:val="24"/>
                <w:sz w:val="20"/>
                <w:szCs w:val="20"/>
                <w:lang w:eastAsia="en-GB"/>
              </w:rPr>
              <w:t>n=1,3</w:t>
            </w:r>
            <w:r w:rsidR="00472D1C" w:rsidRPr="00182589">
              <w:rPr>
                <w:rFonts w:ascii="Arial" w:eastAsia="Times New Roman" w:hAnsi="Arial" w:cs="Arial"/>
                <w:b/>
                <w:bCs/>
                <w:kern w:val="24"/>
                <w:sz w:val="20"/>
                <w:szCs w:val="20"/>
                <w:lang w:eastAsia="en-GB"/>
              </w:rPr>
              <w:t>2</w:t>
            </w:r>
            <w:r w:rsidRPr="00182589">
              <w:rPr>
                <w:rFonts w:ascii="Arial" w:eastAsia="Times New Roman" w:hAnsi="Arial" w:cs="Arial"/>
                <w:b/>
                <w:bCs/>
                <w:kern w:val="24"/>
                <w:sz w:val="20"/>
                <w:szCs w:val="20"/>
                <w:lang w:eastAsia="en-GB"/>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3DC5B9" w14:textId="77777777" w:rsidR="00585BC7" w:rsidRPr="00182589" w:rsidRDefault="00585BC7" w:rsidP="00585BC7">
            <w:pPr>
              <w:spacing w:after="0"/>
              <w:jc w:val="center"/>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p</w:t>
            </w:r>
          </w:p>
        </w:tc>
      </w:tr>
      <w:tr w:rsidR="00182589" w:rsidRPr="00182589" w14:paraId="3111115D"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05364416" w14:textId="77777777" w:rsidR="00585BC7" w:rsidRPr="00182589" w:rsidRDefault="00585BC7"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 xml:space="preserve"> Baseline characteristics</w:t>
            </w:r>
          </w:p>
        </w:tc>
        <w:tc>
          <w:tcPr>
            <w:tcW w:w="5752" w:type="dxa"/>
            <w:gridSpan w:val="3"/>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0DDEA29D" w14:textId="77777777" w:rsidR="00585BC7" w:rsidRPr="00182589" w:rsidRDefault="00585BC7" w:rsidP="00585BC7">
            <w:pPr>
              <w:spacing w:after="0"/>
              <w:rPr>
                <w:rFonts w:ascii="Arial" w:eastAsia="Times New Roman" w:hAnsi="Arial" w:cs="Arial"/>
                <w:sz w:val="20"/>
                <w:szCs w:val="20"/>
                <w:lang w:eastAsia="en-GB"/>
              </w:rPr>
            </w:pPr>
          </w:p>
        </w:tc>
      </w:tr>
      <w:tr w:rsidR="00182589" w:rsidRPr="00182589" w14:paraId="16C5961B"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76D3FCB1"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Age at diagnosis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91FF52"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27.5 (27.0-28.0)</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FCD1B8"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51.7 (51.1-52.3)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064D06"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6288204E"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351C42C1"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Duration (months)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39C1C1"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4.4 (4.0-4.7)</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CAC235"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5.1 (4.9-5.3)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8954D4"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0.0001</w:t>
            </w:r>
          </w:p>
        </w:tc>
      </w:tr>
      <w:tr w:rsidR="00182589" w:rsidRPr="00182589" w14:paraId="3D422AEF"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1B4C41A1"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BMI kg/m</w:t>
            </w:r>
            <w:r w:rsidRPr="00182589">
              <w:rPr>
                <w:rFonts w:ascii="Arial" w:eastAsia="Times New Roman" w:hAnsi="Arial" w:cs="Arial"/>
                <w:kern w:val="24"/>
                <w:position w:val="7"/>
                <w:sz w:val="20"/>
                <w:szCs w:val="20"/>
                <w:vertAlign w:val="superscript"/>
                <w:lang w:eastAsia="en-GB"/>
              </w:rPr>
              <w:t>2</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7E898A"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27.2 (26.5-27.8)</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6F5AFC"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30.6 (30.2-31.0)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0245F2"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09C88554"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2E75DA62"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Gender (male)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47A6FB"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54% (50-59)</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9DDF308"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60% (57-62)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2C13985"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0.03</w:t>
            </w:r>
          </w:p>
        </w:tc>
      </w:tr>
      <w:tr w:rsidR="00182589" w:rsidRPr="00182589" w14:paraId="1128839F"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tcPr>
          <w:p w14:paraId="6CAF8B1B" w14:textId="77777777" w:rsidR="00EC1EEB" w:rsidRPr="00182589" w:rsidRDefault="00EC1EEB" w:rsidP="00FA7317">
            <w:pPr>
              <w:spacing w:after="0"/>
              <w:textAlignment w:val="bottom"/>
              <w:rPr>
                <w:rFonts w:ascii="Arial" w:eastAsia="Times New Roman" w:hAnsi="Arial" w:cs="Arial"/>
                <w:kern w:val="24"/>
                <w:sz w:val="20"/>
                <w:szCs w:val="20"/>
                <w:lang w:eastAsia="en-GB"/>
              </w:rPr>
            </w:pPr>
            <w:r w:rsidRPr="00182589">
              <w:rPr>
                <w:rFonts w:ascii="Arial" w:eastAsia="Times New Roman" w:hAnsi="Arial" w:cs="Arial"/>
                <w:kern w:val="24"/>
                <w:sz w:val="20"/>
                <w:szCs w:val="20"/>
                <w:lang w:eastAsia="en-GB"/>
              </w:rPr>
              <w:t>White European</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5786F5D"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87% (84-90)</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5513A3"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86% (84-88)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DF0752"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0.8</w:t>
            </w:r>
          </w:p>
        </w:tc>
      </w:tr>
      <w:tr w:rsidR="00182589" w:rsidRPr="00182589" w14:paraId="5D67D7C2" w14:textId="77777777" w:rsidTr="004D17ED">
        <w:trPr>
          <w:trHeight w:val="304"/>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5A4E3264" w14:textId="77777777" w:rsidR="00EC1EEB" w:rsidRPr="00182589" w:rsidRDefault="00EC1EEB" w:rsidP="00FA7317">
            <w:pPr>
              <w:spacing w:after="0"/>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 xml:space="preserve"> Symptoms at presentation</w:t>
            </w:r>
          </w:p>
        </w:tc>
        <w:tc>
          <w:tcPr>
            <w:tcW w:w="238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04F0190C" w14:textId="77777777" w:rsidR="00EC1EEB" w:rsidRPr="00182589" w:rsidRDefault="00EC1EEB" w:rsidP="00EC1EEB">
            <w:pPr>
              <w:jc w:val="center"/>
              <w:rPr>
                <w:rFonts w:ascii="Arial" w:hAnsi="Arial" w:cs="Arial"/>
                <w:sz w:val="20"/>
                <w:szCs w:val="20"/>
              </w:rPr>
            </w:pPr>
          </w:p>
        </w:tc>
        <w:tc>
          <w:tcPr>
            <w:tcW w:w="23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9FD985C" w14:textId="77777777" w:rsidR="00EC1EEB" w:rsidRPr="00182589" w:rsidRDefault="00EC1EEB" w:rsidP="00EC1EEB">
            <w:pPr>
              <w:jc w:val="center"/>
              <w:rPr>
                <w:rFonts w:ascii="Arial" w:hAnsi="Arial" w:cs="Arial"/>
                <w:sz w:val="20"/>
                <w:szCs w:val="20"/>
              </w:rPr>
            </w:pP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0CAC156" w14:textId="77777777" w:rsidR="00EC1EEB" w:rsidRPr="00182589" w:rsidRDefault="00EC1EEB" w:rsidP="00EC1EEB">
            <w:pPr>
              <w:jc w:val="center"/>
              <w:rPr>
                <w:rFonts w:ascii="Arial" w:hAnsi="Arial" w:cs="Arial"/>
                <w:sz w:val="20"/>
                <w:szCs w:val="20"/>
              </w:rPr>
            </w:pPr>
          </w:p>
        </w:tc>
      </w:tr>
      <w:tr w:rsidR="00182589" w:rsidRPr="00182589" w14:paraId="42190021"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73CD0D4F"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Unintentional weight loss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8475C1"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66% (61-70)</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A62FE0"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43% (40-46)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877826"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16A2FEDA"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5426BFEA" w14:textId="77777777" w:rsidR="00EC1EEB" w:rsidRPr="00182589" w:rsidRDefault="00EC1EEB" w:rsidP="00FA7317">
            <w:pPr>
              <w:spacing w:after="0"/>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Diabetic Ketoacidosis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D9D4A3F"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16% (12-19)</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3655B6"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7% (6-9)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8306A7"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53D73BE9"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06179DEE"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Osmotic symptoms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1277CB"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89% (87-92)</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8A99C4"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75% (72-77)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39A0B7"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7A00722B"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032232AA"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 xml:space="preserve"> Biochemistry at presentation</w:t>
            </w:r>
          </w:p>
        </w:tc>
        <w:tc>
          <w:tcPr>
            <w:tcW w:w="238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51FE4F24" w14:textId="77777777" w:rsidR="00EC1EEB" w:rsidRPr="00182589" w:rsidRDefault="00EC1EEB" w:rsidP="00EC1EEB">
            <w:pPr>
              <w:jc w:val="center"/>
              <w:rPr>
                <w:rFonts w:ascii="Arial" w:hAnsi="Arial" w:cs="Arial"/>
                <w:sz w:val="20"/>
                <w:szCs w:val="20"/>
              </w:rPr>
            </w:pPr>
          </w:p>
        </w:tc>
        <w:tc>
          <w:tcPr>
            <w:tcW w:w="23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42EF871" w14:textId="77777777" w:rsidR="00EC1EEB" w:rsidRPr="00182589" w:rsidRDefault="00EC1EEB" w:rsidP="00EC1EEB">
            <w:pPr>
              <w:jc w:val="center"/>
              <w:rPr>
                <w:rFonts w:ascii="Arial" w:hAnsi="Arial" w:cs="Arial"/>
                <w:sz w:val="20"/>
                <w:szCs w:val="20"/>
              </w:rPr>
            </w:pP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8FDC1CC" w14:textId="77777777" w:rsidR="00EC1EEB" w:rsidRPr="00182589" w:rsidRDefault="00EC1EEB" w:rsidP="00EC1EEB">
            <w:pPr>
              <w:jc w:val="center"/>
              <w:rPr>
                <w:rFonts w:ascii="Arial" w:hAnsi="Arial" w:cs="Arial"/>
                <w:sz w:val="20"/>
                <w:szCs w:val="20"/>
              </w:rPr>
            </w:pPr>
          </w:p>
        </w:tc>
      </w:tr>
      <w:tr w:rsidR="00182589" w:rsidRPr="00182589" w14:paraId="7809A8A6"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7E28CB43" w14:textId="77777777" w:rsidR="00EC1EEB" w:rsidRPr="00182589" w:rsidRDefault="00FA7317"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HbA1c at d</w:t>
            </w:r>
            <w:r w:rsidR="00EC1EEB" w:rsidRPr="00182589">
              <w:rPr>
                <w:rFonts w:ascii="Arial" w:eastAsia="Times New Roman" w:hAnsi="Arial" w:cs="Arial"/>
                <w:kern w:val="24"/>
                <w:sz w:val="20"/>
                <w:szCs w:val="20"/>
                <w:lang w:eastAsia="en-GB"/>
              </w:rPr>
              <w:t>iagnosis mmol/mol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0ABC0D"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98.1 (95.4-100.9)</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DD4285"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85.8 (84.1-87.5)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4DD5A3"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270589B3"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tcPr>
          <w:p w14:paraId="2597F1BA" w14:textId="77777777" w:rsidR="00EC1EEB" w:rsidRPr="00182589" w:rsidRDefault="00EC1EEB" w:rsidP="00FA7317">
            <w:pPr>
              <w:spacing w:after="0"/>
              <w:textAlignment w:val="bottom"/>
              <w:rPr>
                <w:rFonts w:ascii="Arial" w:eastAsia="Times New Roman" w:hAnsi="Arial" w:cs="Arial"/>
                <w:kern w:val="24"/>
                <w:sz w:val="20"/>
                <w:szCs w:val="20"/>
                <w:lang w:eastAsia="en-GB"/>
              </w:rPr>
            </w:pPr>
            <w:r w:rsidRPr="00182589">
              <w:rPr>
                <w:rFonts w:ascii="Arial" w:eastAsia="Times New Roman" w:hAnsi="Arial" w:cs="Arial"/>
                <w:kern w:val="24"/>
                <w:sz w:val="20"/>
                <w:szCs w:val="20"/>
                <w:lang w:eastAsia="en-GB"/>
              </w:rPr>
              <w:t xml:space="preserve">HbA1c </w:t>
            </w:r>
            <w:r w:rsidR="00FA7317" w:rsidRPr="00182589">
              <w:rPr>
                <w:rFonts w:ascii="Arial" w:eastAsia="Times New Roman" w:hAnsi="Arial" w:cs="Arial"/>
                <w:kern w:val="24"/>
                <w:sz w:val="20"/>
                <w:szCs w:val="20"/>
                <w:lang w:eastAsia="en-GB"/>
              </w:rPr>
              <w:t xml:space="preserve">at </w:t>
            </w:r>
            <w:r w:rsidRPr="00182589">
              <w:rPr>
                <w:rFonts w:ascii="Arial" w:eastAsia="Times New Roman" w:hAnsi="Arial" w:cs="Arial"/>
                <w:kern w:val="24"/>
                <w:sz w:val="20"/>
                <w:szCs w:val="20"/>
                <w:lang w:eastAsia="en-GB"/>
              </w:rPr>
              <w:t>diagnosis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1212524"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11.1 (10.8-11.4)</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9AB53C"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10.0 (9.8-10.2)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27B2DC"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46CA3080"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1A806189"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Glucose at diagnosis mmol/l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A2A7F83"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19.2 (18.3-20.1)</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6AAE03"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18.4 (17.6-19.1)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A298BC"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0.2</w:t>
            </w:r>
          </w:p>
        </w:tc>
      </w:tr>
      <w:tr w:rsidR="00182589" w:rsidRPr="00182589" w14:paraId="124F9E70"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55B36DEC"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 xml:space="preserve">  Management at presentation</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8CE541" w14:textId="77777777" w:rsidR="00EC1EEB" w:rsidRPr="00182589" w:rsidRDefault="00EC1EEB" w:rsidP="00EC1EEB">
            <w:pPr>
              <w:jc w:val="center"/>
              <w:rPr>
                <w:rFonts w:ascii="Arial" w:hAnsi="Arial" w:cs="Arial"/>
                <w:sz w:val="20"/>
                <w:szCs w:val="20"/>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43C561" w14:textId="77777777" w:rsidR="00EC1EEB" w:rsidRPr="00182589" w:rsidRDefault="00EC1EEB" w:rsidP="00EC1EEB">
            <w:pPr>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31F8011E" w14:textId="77777777" w:rsidR="00EC1EEB" w:rsidRPr="00182589" w:rsidRDefault="00EC1EEB" w:rsidP="00EC1EEB">
            <w:pPr>
              <w:jc w:val="center"/>
              <w:rPr>
                <w:rFonts w:ascii="Arial" w:hAnsi="Arial" w:cs="Arial"/>
                <w:sz w:val="20"/>
                <w:szCs w:val="20"/>
              </w:rPr>
            </w:pPr>
          </w:p>
        </w:tc>
      </w:tr>
      <w:tr w:rsidR="00182589" w:rsidRPr="00182589" w14:paraId="69D8B912"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137DED8E" w14:textId="77777777" w:rsidR="0055606C" w:rsidRPr="00182589" w:rsidRDefault="0055606C" w:rsidP="0055606C">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Hospitalised at admission</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0F2345" w14:textId="75040E6D" w:rsidR="0055606C" w:rsidRPr="00182589" w:rsidRDefault="0055606C" w:rsidP="0055606C">
            <w:pPr>
              <w:jc w:val="center"/>
              <w:rPr>
                <w:rFonts w:ascii="Arial" w:hAnsi="Arial" w:cs="Arial"/>
                <w:sz w:val="20"/>
                <w:szCs w:val="20"/>
              </w:rPr>
            </w:pPr>
            <w:r w:rsidRPr="00182589">
              <w:rPr>
                <w:rFonts w:ascii="Calibri" w:hAnsi="Calibri" w:cs="Calibri"/>
              </w:rPr>
              <w:t>47% (42-51)</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C9013C" w14:textId="77777777" w:rsidR="0055606C" w:rsidRPr="00182589" w:rsidRDefault="0055606C" w:rsidP="0055606C">
            <w:pPr>
              <w:jc w:val="center"/>
              <w:rPr>
                <w:rFonts w:ascii="Arial" w:hAnsi="Arial" w:cs="Arial"/>
                <w:sz w:val="20"/>
                <w:szCs w:val="20"/>
              </w:rPr>
            </w:pPr>
            <w:r w:rsidRPr="00182589">
              <w:rPr>
                <w:rFonts w:ascii="Arial" w:hAnsi="Arial" w:cs="Arial"/>
                <w:sz w:val="20"/>
                <w:szCs w:val="20"/>
              </w:rPr>
              <w:t>27% (24-29)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41153D" w14:textId="77777777" w:rsidR="0055606C" w:rsidRPr="00182589" w:rsidRDefault="0055606C" w:rsidP="0055606C">
            <w:pPr>
              <w:jc w:val="center"/>
              <w:rPr>
                <w:rFonts w:ascii="Arial" w:hAnsi="Arial" w:cs="Arial"/>
                <w:sz w:val="20"/>
                <w:szCs w:val="20"/>
              </w:rPr>
            </w:pPr>
            <w:r w:rsidRPr="00182589">
              <w:rPr>
                <w:rFonts w:ascii="Arial" w:hAnsi="Arial" w:cs="Arial"/>
                <w:sz w:val="20"/>
                <w:szCs w:val="20"/>
              </w:rPr>
              <w:t>&lt;0.0001</w:t>
            </w:r>
          </w:p>
        </w:tc>
      </w:tr>
      <w:tr w:rsidR="00182589" w:rsidRPr="00182589" w14:paraId="6CAE1B72"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3A40E7AB" w14:textId="77777777" w:rsidR="0055606C" w:rsidRPr="00182589" w:rsidRDefault="0055606C" w:rsidP="0055606C">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Initial insulin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0455D3" w14:textId="1EA8F839" w:rsidR="0055606C" w:rsidRPr="00182589" w:rsidRDefault="0055606C" w:rsidP="0055606C">
            <w:pPr>
              <w:jc w:val="center"/>
              <w:rPr>
                <w:rFonts w:ascii="Arial" w:hAnsi="Arial" w:cs="Arial"/>
                <w:sz w:val="20"/>
                <w:szCs w:val="20"/>
              </w:rPr>
            </w:pPr>
            <w:r w:rsidRPr="00182589">
              <w:rPr>
                <w:rFonts w:ascii="Calibri" w:hAnsi="Calibri" w:cs="Calibri"/>
              </w:rPr>
              <w:t>76% (72-79)</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5D5D2A" w14:textId="77777777" w:rsidR="0055606C" w:rsidRPr="00182589" w:rsidRDefault="0055606C" w:rsidP="0055606C">
            <w:pPr>
              <w:jc w:val="center"/>
              <w:rPr>
                <w:rFonts w:ascii="Arial" w:hAnsi="Arial" w:cs="Arial"/>
                <w:sz w:val="20"/>
                <w:szCs w:val="20"/>
              </w:rPr>
            </w:pPr>
            <w:r w:rsidRPr="00182589">
              <w:rPr>
                <w:rFonts w:ascii="Arial" w:hAnsi="Arial" w:cs="Arial"/>
                <w:sz w:val="20"/>
                <w:szCs w:val="20"/>
              </w:rPr>
              <w:t>37% (35-40)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CBE21C" w14:textId="77777777" w:rsidR="0055606C" w:rsidRPr="00182589" w:rsidRDefault="0055606C" w:rsidP="0055606C">
            <w:pPr>
              <w:jc w:val="center"/>
              <w:rPr>
                <w:rFonts w:ascii="Arial" w:hAnsi="Arial" w:cs="Arial"/>
                <w:sz w:val="20"/>
                <w:szCs w:val="20"/>
              </w:rPr>
            </w:pPr>
            <w:r w:rsidRPr="00182589">
              <w:rPr>
                <w:rFonts w:ascii="Arial" w:hAnsi="Arial" w:cs="Arial"/>
                <w:sz w:val="20"/>
                <w:szCs w:val="20"/>
              </w:rPr>
              <w:t>&lt;0.0001</w:t>
            </w:r>
          </w:p>
        </w:tc>
      </w:tr>
      <w:tr w:rsidR="00182589" w:rsidRPr="00182589" w14:paraId="08CC19F1" w14:textId="77777777" w:rsidTr="00FA7317">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E5FC4FE" w14:textId="77777777" w:rsidR="0055606C" w:rsidRPr="00182589" w:rsidRDefault="0055606C" w:rsidP="0055606C">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Initial tablets (+/- insulin)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1549B8" w14:textId="766290F9" w:rsidR="0055606C" w:rsidRPr="00182589" w:rsidRDefault="0055606C" w:rsidP="0055606C">
            <w:pPr>
              <w:jc w:val="center"/>
              <w:rPr>
                <w:rFonts w:ascii="Arial" w:hAnsi="Arial" w:cs="Arial"/>
                <w:sz w:val="20"/>
                <w:szCs w:val="20"/>
              </w:rPr>
            </w:pPr>
            <w:r w:rsidRPr="00182589">
              <w:rPr>
                <w:rFonts w:ascii="Calibri" w:hAnsi="Calibri" w:cs="Calibri"/>
              </w:rPr>
              <w:t>25% (21-29)</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BA0504" w14:textId="77777777" w:rsidR="0055606C" w:rsidRPr="00182589" w:rsidRDefault="0055606C" w:rsidP="0055606C">
            <w:pPr>
              <w:jc w:val="center"/>
              <w:rPr>
                <w:rFonts w:ascii="Arial" w:hAnsi="Arial" w:cs="Arial"/>
                <w:sz w:val="20"/>
                <w:szCs w:val="20"/>
              </w:rPr>
            </w:pPr>
            <w:r w:rsidRPr="00182589">
              <w:rPr>
                <w:rFonts w:ascii="Arial" w:hAnsi="Arial" w:cs="Arial"/>
                <w:sz w:val="20"/>
                <w:szCs w:val="20"/>
              </w:rPr>
              <w:t>46% (43-48)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5F36F5" w14:textId="77777777" w:rsidR="0055606C" w:rsidRPr="00182589" w:rsidRDefault="0055606C" w:rsidP="0055606C">
            <w:pPr>
              <w:jc w:val="center"/>
              <w:rPr>
                <w:rFonts w:ascii="Arial" w:hAnsi="Arial" w:cs="Arial"/>
                <w:sz w:val="20"/>
                <w:szCs w:val="20"/>
              </w:rPr>
            </w:pPr>
            <w:r w:rsidRPr="00182589">
              <w:rPr>
                <w:rFonts w:ascii="Arial" w:hAnsi="Arial" w:cs="Arial"/>
                <w:sz w:val="20"/>
                <w:szCs w:val="20"/>
              </w:rPr>
              <w:t>&lt;0.0001</w:t>
            </w:r>
          </w:p>
        </w:tc>
      </w:tr>
      <w:tr w:rsidR="00182589" w:rsidRPr="00182589" w14:paraId="3C29E7F3"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190BEA3A"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 xml:space="preserve">  Recruitment characteristics </w:t>
            </w:r>
          </w:p>
        </w:tc>
        <w:tc>
          <w:tcPr>
            <w:tcW w:w="238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792564F8" w14:textId="77777777" w:rsidR="00EC1EEB" w:rsidRPr="00182589" w:rsidRDefault="00EC1EEB" w:rsidP="00EC1EEB">
            <w:pPr>
              <w:jc w:val="center"/>
              <w:rPr>
                <w:rFonts w:ascii="Arial" w:hAnsi="Arial" w:cs="Arial"/>
                <w:sz w:val="20"/>
                <w:szCs w:val="20"/>
              </w:rPr>
            </w:pPr>
          </w:p>
        </w:tc>
        <w:tc>
          <w:tcPr>
            <w:tcW w:w="23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A9F7D40" w14:textId="77777777" w:rsidR="00EC1EEB" w:rsidRPr="00182589" w:rsidRDefault="00EC1EEB" w:rsidP="00EC1EEB">
            <w:pPr>
              <w:jc w:val="center"/>
              <w:rPr>
                <w:rFonts w:ascii="Arial" w:hAnsi="Arial" w:cs="Arial"/>
                <w:sz w:val="20"/>
                <w:szCs w:val="20"/>
              </w:rPr>
            </w:pP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394BD2B" w14:textId="77777777" w:rsidR="00EC1EEB" w:rsidRPr="00182589" w:rsidRDefault="00EC1EEB" w:rsidP="00EC1EEB">
            <w:pPr>
              <w:jc w:val="center"/>
              <w:rPr>
                <w:rFonts w:ascii="Arial" w:hAnsi="Arial" w:cs="Arial"/>
                <w:sz w:val="20"/>
                <w:szCs w:val="20"/>
              </w:rPr>
            </w:pPr>
          </w:p>
        </w:tc>
      </w:tr>
      <w:tr w:rsidR="00182589" w:rsidRPr="00182589" w14:paraId="433848DF" w14:textId="77777777" w:rsidTr="00FA7317">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2EB41A23"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Geometric C-peptide </w:t>
            </w:r>
            <w:proofErr w:type="spellStart"/>
            <w:r w:rsidRPr="00182589">
              <w:rPr>
                <w:rFonts w:ascii="Arial" w:eastAsia="Times New Roman" w:hAnsi="Arial" w:cs="Arial"/>
                <w:kern w:val="24"/>
                <w:sz w:val="20"/>
                <w:szCs w:val="20"/>
                <w:lang w:eastAsia="en-GB"/>
              </w:rPr>
              <w:t>pmol</w:t>
            </w:r>
            <w:proofErr w:type="spellEnd"/>
            <w:r w:rsidRPr="00182589">
              <w:rPr>
                <w:rFonts w:ascii="Arial" w:eastAsia="Times New Roman" w:hAnsi="Arial" w:cs="Arial"/>
                <w:kern w:val="24"/>
                <w:sz w:val="20"/>
                <w:szCs w:val="20"/>
                <w:lang w:eastAsia="en-GB"/>
              </w:rPr>
              <w:t>/l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5B87C8"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643.7 (591.1-701.1)</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74E00B"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1138.0 (1076.1-1203.4)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C3DE6A"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4A758136" w14:textId="77777777" w:rsidTr="00FA7317">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1506DF9"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Geometric UCPCR (nmol/mmol)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97D6ED"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1.3 (1.2-1.4)</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1D2A67"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1.9 (1.7-2.0)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F05EE7"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67C3F1B7" w14:textId="77777777" w:rsidTr="00FA7317">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18EABE6D"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heme="minorEastAsia" w:hAnsi="Arial" w:cs="Arial"/>
                <w:kern w:val="24"/>
                <w:sz w:val="20"/>
                <w:szCs w:val="20"/>
                <w:lang w:eastAsia="en-GB"/>
              </w:rPr>
              <w:t>Insulin deficiency at baseline*</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0980BDB"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6% (4-9)</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0B8322"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4% (3-5)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B2A07F"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0.02</w:t>
            </w:r>
          </w:p>
        </w:tc>
      </w:tr>
      <w:tr w:rsidR="00182589" w:rsidRPr="00182589" w14:paraId="5282AAC0" w14:textId="77777777" w:rsidTr="00FA7317">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31CE18E"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Reported type 1 at recruitment</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05E9E3"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73% (69-77)</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EA997C"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31% (28-33)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20EF2BA"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10185FF0" w14:textId="77777777" w:rsidTr="00FA7317">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79DD7824"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Reported type 2 at recruitment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56E89A"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19% (16-23)</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262898"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61% (58-64)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F04875"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1764BB6E" w14:textId="77777777" w:rsidTr="00FA7317">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12252CD8"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Insulin treatment at recruitment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3605DA"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79% (75-83)</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8B5C8E"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40% (37-43)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36A7DB1"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22BEC775" w14:textId="77777777" w:rsidTr="00FA7317">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0E77336C"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Type 1 diabetes genetic risk score</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FC5C27"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12.4 (12.2-12.6)</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67F433"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10.9 (10.7-11.0)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100C91"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6D1910E9" w14:textId="77777777" w:rsidTr="00FA7317">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tcPr>
          <w:p w14:paraId="65095B6C" w14:textId="54C58FB4" w:rsidR="005E0948" w:rsidRPr="00182589" w:rsidRDefault="005E0948" w:rsidP="00FA7317">
            <w:pPr>
              <w:spacing w:after="0"/>
              <w:textAlignment w:val="bottom"/>
              <w:rPr>
                <w:rFonts w:ascii="Arial" w:eastAsia="Times New Roman" w:hAnsi="Arial" w:cs="Arial"/>
                <w:kern w:val="24"/>
                <w:sz w:val="20"/>
                <w:szCs w:val="20"/>
                <w:lang w:eastAsia="en-GB"/>
              </w:rPr>
            </w:pPr>
            <w:r w:rsidRPr="00182589">
              <w:rPr>
                <w:rFonts w:ascii="Arial" w:eastAsia="Times New Roman" w:hAnsi="Arial" w:cs="Arial"/>
                <w:kern w:val="24"/>
                <w:sz w:val="20"/>
                <w:szCs w:val="20"/>
                <w:lang w:eastAsia="en-GB"/>
              </w:rPr>
              <w:t>On Insulin at two years follow up</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05318D" w14:textId="0EF798B2" w:rsidR="005E0948" w:rsidRPr="00182589" w:rsidRDefault="0068723D" w:rsidP="00EC1EEB">
            <w:pPr>
              <w:jc w:val="center"/>
              <w:rPr>
                <w:rFonts w:ascii="Arial" w:hAnsi="Arial" w:cs="Arial"/>
                <w:sz w:val="20"/>
                <w:szCs w:val="20"/>
              </w:rPr>
            </w:pPr>
            <w:r w:rsidRPr="00182589">
              <w:rPr>
                <w:rFonts w:ascii="Arial" w:hAnsi="Arial" w:cs="Arial"/>
                <w:sz w:val="20"/>
                <w:szCs w:val="20"/>
              </w:rPr>
              <w:t>83</w:t>
            </w:r>
            <w:r w:rsidR="000320D6" w:rsidRPr="00182589">
              <w:rPr>
                <w:rFonts w:ascii="Arial" w:hAnsi="Arial" w:cs="Arial"/>
                <w:sz w:val="20"/>
                <w:szCs w:val="20"/>
              </w:rPr>
              <w:t>% (</w:t>
            </w:r>
            <w:r w:rsidR="005F1FD1" w:rsidRPr="00182589">
              <w:rPr>
                <w:rFonts w:ascii="Arial" w:hAnsi="Arial" w:cs="Arial"/>
                <w:sz w:val="20"/>
                <w:szCs w:val="20"/>
              </w:rPr>
              <w:t>7</w:t>
            </w:r>
            <w:r w:rsidRPr="00182589">
              <w:rPr>
                <w:rFonts w:ascii="Arial" w:hAnsi="Arial" w:cs="Arial"/>
                <w:sz w:val="20"/>
                <w:szCs w:val="20"/>
              </w:rPr>
              <w:t>9</w:t>
            </w:r>
            <w:r w:rsidR="005F1FD1" w:rsidRPr="00182589">
              <w:rPr>
                <w:rFonts w:ascii="Arial" w:hAnsi="Arial" w:cs="Arial"/>
                <w:sz w:val="20"/>
                <w:szCs w:val="20"/>
              </w:rPr>
              <w:t>-</w:t>
            </w:r>
            <w:r w:rsidRPr="00182589">
              <w:rPr>
                <w:rFonts w:ascii="Arial" w:hAnsi="Arial" w:cs="Arial"/>
                <w:sz w:val="20"/>
                <w:szCs w:val="20"/>
              </w:rPr>
              <w:t>86</w:t>
            </w:r>
            <w:r w:rsidR="005F1FD1" w:rsidRPr="00182589">
              <w:rPr>
                <w:rFonts w:ascii="Arial" w:hAnsi="Arial" w:cs="Arial"/>
                <w:sz w:val="20"/>
                <w:szCs w:val="20"/>
              </w:rPr>
              <w:t>)</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4AB69A" w14:textId="13C2099E" w:rsidR="005E0948" w:rsidRPr="00182589" w:rsidRDefault="0068723D" w:rsidP="00EC1EEB">
            <w:pPr>
              <w:jc w:val="center"/>
              <w:rPr>
                <w:rFonts w:ascii="Arial" w:hAnsi="Arial" w:cs="Arial"/>
                <w:sz w:val="20"/>
                <w:szCs w:val="20"/>
              </w:rPr>
            </w:pPr>
            <w:r w:rsidRPr="00182589">
              <w:rPr>
                <w:rFonts w:ascii="Arial" w:hAnsi="Arial" w:cs="Arial"/>
                <w:sz w:val="20"/>
                <w:szCs w:val="20"/>
              </w:rPr>
              <w:t>43</w:t>
            </w:r>
            <w:r w:rsidR="005F1FD1" w:rsidRPr="00182589">
              <w:rPr>
                <w:rFonts w:ascii="Arial" w:hAnsi="Arial" w:cs="Arial"/>
                <w:sz w:val="20"/>
                <w:szCs w:val="20"/>
              </w:rPr>
              <w:t>% (</w:t>
            </w:r>
            <w:r w:rsidRPr="00182589">
              <w:rPr>
                <w:rFonts w:ascii="Arial" w:hAnsi="Arial" w:cs="Arial"/>
                <w:sz w:val="20"/>
                <w:szCs w:val="20"/>
              </w:rPr>
              <w:t>40</w:t>
            </w:r>
            <w:r w:rsidR="005F1FD1" w:rsidRPr="00182589">
              <w:rPr>
                <w:rFonts w:ascii="Arial" w:hAnsi="Arial" w:cs="Arial"/>
                <w:sz w:val="20"/>
                <w:szCs w:val="20"/>
              </w:rPr>
              <w:t>-4</w:t>
            </w:r>
            <w:r w:rsidRPr="00182589">
              <w:rPr>
                <w:rFonts w:ascii="Arial" w:hAnsi="Arial" w:cs="Arial"/>
                <w:sz w:val="20"/>
                <w:szCs w:val="20"/>
              </w:rPr>
              <w:t>6</w:t>
            </w:r>
            <w:r w:rsidR="005F1FD1" w:rsidRPr="00182589">
              <w:rPr>
                <w:rFonts w:ascii="Arial" w:hAnsi="Arial" w:cs="Arial"/>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4C1D9D" w14:textId="6561C306" w:rsidR="005E0948" w:rsidRPr="00182589" w:rsidRDefault="00D708BD"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4392567A" w14:textId="77777777" w:rsidTr="00FA7317">
        <w:trPr>
          <w:trHeight w:val="263"/>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0BF69080" w14:textId="77777777" w:rsidR="00EC1EEB" w:rsidRPr="00182589" w:rsidRDefault="00EC1EEB" w:rsidP="00FA7317">
            <w:pPr>
              <w:spacing w:after="0"/>
              <w:textAlignment w:val="bottom"/>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 xml:space="preserve">  Recruitment Autoantibody profile </w:t>
            </w:r>
          </w:p>
        </w:tc>
        <w:tc>
          <w:tcPr>
            <w:tcW w:w="238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0D122C6F" w14:textId="77777777" w:rsidR="00EC1EEB" w:rsidRPr="00182589" w:rsidRDefault="00EC1EEB" w:rsidP="00EC1EEB">
            <w:pPr>
              <w:jc w:val="center"/>
              <w:rPr>
                <w:rFonts w:ascii="Arial" w:hAnsi="Arial" w:cs="Arial"/>
                <w:sz w:val="20"/>
                <w:szCs w:val="20"/>
              </w:rPr>
            </w:pPr>
          </w:p>
        </w:tc>
        <w:tc>
          <w:tcPr>
            <w:tcW w:w="23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D3F5F11" w14:textId="77777777" w:rsidR="00EC1EEB" w:rsidRPr="00182589" w:rsidRDefault="00EC1EEB" w:rsidP="00EC1EEB">
            <w:pPr>
              <w:jc w:val="center"/>
              <w:rPr>
                <w:rFonts w:ascii="Arial" w:hAnsi="Arial" w:cs="Arial"/>
                <w:sz w:val="20"/>
                <w:szCs w:val="20"/>
              </w:rPr>
            </w:pP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32EC041" w14:textId="77777777" w:rsidR="00EC1EEB" w:rsidRPr="00182589" w:rsidRDefault="00EC1EEB" w:rsidP="00EC1EEB">
            <w:pPr>
              <w:jc w:val="center"/>
              <w:rPr>
                <w:rFonts w:ascii="Arial" w:hAnsi="Arial" w:cs="Arial"/>
                <w:sz w:val="20"/>
                <w:szCs w:val="20"/>
              </w:rPr>
            </w:pPr>
          </w:p>
        </w:tc>
      </w:tr>
      <w:tr w:rsidR="00182589" w:rsidRPr="00182589" w14:paraId="1BB6B59D" w14:textId="77777777" w:rsidTr="000423B1">
        <w:trPr>
          <w:trHeight w:val="263"/>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00C707E" w14:textId="77777777" w:rsidR="00EC1EEB" w:rsidRPr="00182589" w:rsidRDefault="00EC1EEB" w:rsidP="00EC1EEB">
            <w:pPr>
              <w:spacing w:after="0"/>
              <w:textAlignment w:val="bottom"/>
              <w:rPr>
                <w:rFonts w:ascii="Arial" w:eastAsia="Times New Roman" w:hAnsi="Arial" w:cs="Arial"/>
                <w:sz w:val="20"/>
                <w:szCs w:val="20"/>
                <w:lang w:eastAsia="en-GB"/>
              </w:rPr>
            </w:pPr>
            <w:r w:rsidRPr="00182589">
              <w:rPr>
                <w:rFonts w:ascii="Arial" w:eastAsia="Times New Roman" w:hAnsi="Arial" w:cs="Arial"/>
                <w:bCs/>
                <w:kern w:val="24"/>
                <w:sz w:val="20"/>
                <w:szCs w:val="20"/>
                <w:lang w:eastAsia="en-GB"/>
              </w:rPr>
              <w:t>Single antibody positive</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447A5F"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64% (60-68)</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177E3B"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29% (26-31)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52709A"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57F0C055" w14:textId="77777777" w:rsidTr="000423B1">
        <w:trPr>
          <w:trHeight w:val="263"/>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4B621091" w14:textId="77777777" w:rsidR="00EC1EEB" w:rsidRPr="00182589" w:rsidRDefault="00EC1EEB" w:rsidP="00EC1EEB">
            <w:pPr>
              <w:spacing w:after="0"/>
              <w:textAlignment w:val="bottom"/>
              <w:rPr>
                <w:rFonts w:ascii="Arial" w:eastAsia="Times New Roman" w:hAnsi="Arial" w:cs="Arial"/>
                <w:sz w:val="20"/>
                <w:szCs w:val="20"/>
                <w:lang w:eastAsia="en-GB"/>
              </w:rPr>
            </w:pPr>
            <w:r w:rsidRPr="00182589">
              <w:rPr>
                <w:rFonts w:ascii="Arial" w:eastAsia="Times New Roman" w:hAnsi="Arial" w:cs="Arial"/>
                <w:bCs/>
                <w:kern w:val="24"/>
                <w:sz w:val="20"/>
                <w:szCs w:val="20"/>
                <w:lang w:eastAsia="en-GB"/>
              </w:rPr>
              <w:t>Multi-Antibody positive</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225DED"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41% (36-45)</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79F902"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15% (13-16)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528622"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22705D3C" w14:textId="77777777" w:rsidTr="000423B1">
        <w:trPr>
          <w:trHeight w:val="263"/>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4A0F71FE" w14:textId="77777777" w:rsidR="00EC1EEB" w:rsidRPr="00182589" w:rsidRDefault="00EC1EEB" w:rsidP="00EC1EEB">
            <w:pPr>
              <w:spacing w:after="0"/>
              <w:textAlignment w:val="bottom"/>
              <w:rPr>
                <w:rFonts w:ascii="Arial" w:eastAsia="Times New Roman" w:hAnsi="Arial" w:cs="Arial"/>
                <w:sz w:val="20"/>
                <w:szCs w:val="20"/>
                <w:lang w:eastAsia="en-GB"/>
              </w:rPr>
            </w:pPr>
            <w:r w:rsidRPr="00182589">
              <w:rPr>
                <w:rFonts w:ascii="Arial" w:eastAsia="Times New Roman" w:hAnsi="Arial" w:cs="Arial"/>
                <w:bCs/>
                <w:kern w:val="24"/>
                <w:sz w:val="20"/>
                <w:szCs w:val="20"/>
                <w:lang w:eastAsia="en-GB"/>
              </w:rPr>
              <w:t>GADA</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94F371"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57% (53-61)</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4C0B8B"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24% (22-26)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63B701"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2B87A992" w14:textId="77777777" w:rsidTr="000423B1">
        <w:trPr>
          <w:trHeight w:val="263"/>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4BB57F4B" w14:textId="77777777" w:rsidR="00EC1EEB" w:rsidRPr="00182589" w:rsidRDefault="00EC1EEB" w:rsidP="00EC1EEB">
            <w:pPr>
              <w:spacing w:after="0"/>
              <w:textAlignment w:val="bottom"/>
              <w:rPr>
                <w:rFonts w:ascii="Arial" w:eastAsia="Times New Roman" w:hAnsi="Arial" w:cs="Arial"/>
                <w:sz w:val="20"/>
                <w:szCs w:val="20"/>
                <w:lang w:eastAsia="en-GB"/>
              </w:rPr>
            </w:pPr>
            <w:r w:rsidRPr="00182589">
              <w:rPr>
                <w:rFonts w:ascii="Arial" w:eastAsia="Times New Roman" w:hAnsi="Arial" w:cs="Arial"/>
                <w:bCs/>
                <w:kern w:val="24"/>
                <w:sz w:val="20"/>
                <w:szCs w:val="20"/>
                <w:lang w:eastAsia="en-GB"/>
              </w:rPr>
              <w:t xml:space="preserve">IA2A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E13871"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33% (29-38)</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3EF283"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13% (11-14)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EA4C8E"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r w:rsidR="00182589" w:rsidRPr="00182589" w14:paraId="545D1CB5" w14:textId="77777777" w:rsidTr="000423B1">
        <w:trPr>
          <w:trHeight w:val="19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0E81128B" w14:textId="77777777" w:rsidR="00EC1EEB" w:rsidRPr="00182589" w:rsidRDefault="00EC1EEB" w:rsidP="00EC1EEB">
            <w:pPr>
              <w:spacing w:after="0"/>
              <w:textAlignment w:val="bottom"/>
              <w:rPr>
                <w:rFonts w:ascii="Arial" w:eastAsia="Times New Roman" w:hAnsi="Arial" w:cs="Arial"/>
                <w:sz w:val="20"/>
                <w:szCs w:val="20"/>
                <w:lang w:eastAsia="en-GB"/>
              </w:rPr>
            </w:pPr>
            <w:r w:rsidRPr="00182589">
              <w:rPr>
                <w:rFonts w:ascii="Arial" w:eastAsia="Times New Roman" w:hAnsi="Arial" w:cs="Arial"/>
                <w:bCs/>
                <w:kern w:val="24"/>
                <w:sz w:val="20"/>
                <w:szCs w:val="20"/>
                <w:lang w:eastAsia="en-GB"/>
              </w:rPr>
              <w:t xml:space="preserve">ZNt8A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8B1236F"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36% (32-40)</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A91100"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15% (13-17)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FDDEE8" w14:textId="77777777" w:rsidR="00EC1EEB" w:rsidRPr="00182589" w:rsidRDefault="00EC1EEB" w:rsidP="00EC1EEB">
            <w:pPr>
              <w:jc w:val="center"/>
              <w:rPr>
                <w:rFonts w:ascii="Arial" w:hAnsi="Arial" w:cs="Arial"/>
                <w:sz w:val="20"/>
                <w:szCs w:val="20"/>
              </w:rPr>
            </w:pPr>
            <w:r w:rsidRPr="00182589">
              <w:rPr>
                <w:rFonts w:ascii="Arial" w:hAnsi="Arial" w:cs="Arial"/>
                <w:sz w:val="20"/>
                <w:szCs w:val="20"/>
              </w:rPr>
              <w:t>&lt;0.0001</w:t>
            </w:r>
          </w:p>
        </w:tc>
      </w:tr>
    </w:tbl>
    <w:p w14:paraId="70D59D0D" w14:textId="601F43E3" w:rsidR="008D445B" w:rsidRPr="00182589" w:rsidRDefault="00262EC7" w:rsidP="00E5634B">
      <w:pPr>
        <w:spacing w:line="276" w:lineRule="auto"/>
        <w:rPr>
          <w:rFonts w:eastAsia="Arial" w:cs="Arial"/>
          <w:sz w:val="24"/>
          <w:szCs w:val="24"/>
        </w:rPr>
      </w:pPr>
      <w:r w:rsidRPr="00182589">
        <w:rPr>
          <w:rFonts w:eastAsia="Arial" w:cs="Arial"/>
        </w:rPr>
        <w:br w:type="page"/>
      </w:r>
      <w:r w:rsidR="00195D13" w:rsidRPr="00182589">
        <w:rPr>
          <w:rFonts w:cstheme="minorHAnsi"/>
          <w:b/>
          <w:sz w:val="24"/>
          <w:szCs w:val="24"/>
        </w:rPr>
        <w:lastRenderedPageBreak/>
        <w:t>ESM table 2</w:t>
      </w:r>
      <w:r w:rsidR="00195D13" w:rsidRPr="00182589">
        <w:rPr>
          <w:rFonts w:cstheme="minorHAnsi"/>
          <w:sz w:val="24"/>
          <w:szCs w:val="24"/>
        </w:rPr>
        <w:t xml:space="preserve">: Baseline clinical characteristics of the </w:t>
      </w:r>
      <w:proofErr w:type="spellStart"/>
      <w:r w:rsidR="00195D13" w:rsidRPr="00182589">
        <w:rPr>
          <w:rFonts w:cstheme="minorHAnsi"/>
          <w:sz w:val="24"/>
          <w:szCs w:val="24"/>
        </w:rPr>
        <w:t>StartRight</w:t>
      </w:r>
      <w:proofErr w:type="spellEnd"/>
      <w:r w:rsidR="00195D13" w:rsidRPr="00182589">
        <w:rPr>
          <w:rFonts w:cstheme="minorHAnsi"/>
          <w:sz w:val="24"/>
          <w:szCs w:val="24"/>
        </w:rPr>
        <w:t xml:space="preserve"> study split by those diagnosed as type 1 diabetes by study definitions (Multi-autoantibody positive </w:t>
      </w:r>
      <w:proofErr w:type="gramStart"/>
      <w:r w:rsidR="00195D13" w:rsidRPr="00182589">
        <w:rPr>
          <w:rFonts w:cstheme="minorHAnsi"/>
          <w:sz w:val="24"/>
          <w:szCs w:val="24"/>
        </w:rPr>
        <w:t>or  clinician</w:t>
      </w:r>
      <w:proofErr w:type="gramEnd"/>
      <w:r w:rsidR="00195D13" w:rsidRPr="00182589">
        <w:rPr>
          <w:rFonts w:cstheme="minorHAnsi"/>
          <w:sz w:val="24"/>
          <w:szCs w:val="24"/>
        </w:rPr>
        <w:t xml:space="preserve"> diagnosed combined with a single positive islet autoantibody) and type 2 diabetes (Clinician diagnosed, initial treatment without insulin,  and autoantibody negative). Results shown are percentage for binary outcomes and mean for continuous data (95% CI). * Severe insulin deficiency defined as </w:t>
      </w:r>
      <w:r w:rsidR="00195D13" w:rsidRPr="00182589">
        <w:rPr>
          <w:rFonts w:eastAsia="Arial" w:cstheme="minorHAnsi"/>
          <w:sz w:val="24"/>
          <w:szCs w:val="24"/>
        </w:rPr>
        <w:t>C-peptide &lt;200pmol/l</w:t>
      </w:r>
    </w:p>
    <w:p w14:paraId="4451C5B3" w14:textId="77777777" w:rsidR="00E5634B" w:rsidRPr="00182589" w:rsidRDefault="00E5634B" w:rsidP="00E5634B">
      <w:pPr>
        <w:spacing w:line="276" w:lineRule="auto"/>
        <w:rPr>
          <w:rFonts w:eastAsia="Arial" w:cs="Arial"/>
          <w:sz w:val="20"/>
          <w:szCs w:val="20"/>
        </w:rPr>
      </w:pPr>
    </w:p>
    <w:tbl>
      <w:tblPr>
        <w:tblW w:w="9214" w:type="dxa"/>
        <w:tblCellMar>
          <w:left w:w="0" w:type="dxa"/>
          <w:right w:w="0" w:type="dxa"/>
        </w:tblCellMar>
        <w:tblLook w:val="0420" w:firstRow="1" w:lastRow="0" w:firstColumn="0" w:lastColumn="0" w:noHBand="0" w:noVBand="1"/>
      </w:tblPr>
      <w:tblGrid>
        <w:gridCol w:w="3462"/>
        <w:gridCol w:w="2380"/>
        <w:gridCol w:w="2380"/>
        <w:gridCol w:w="992"/>
      </w:tblGrid>
      <w:tr w:rsidR="00182589" w:rsidRPr="00182589" w14:paraId="04B8FE3B" w14:textId="77777777" w:rsidTr="00771A06">
        <w:trPr>
          <w:trHeight w:val="464"/>
        </w:trPr>
        <w:tc>
          <w:tcPr>
            <w:tcW w:w="346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F6FED9" w14:textId="77777777" w:rsidR="008D445B" w:rsidRPr="00182589" w:rsidRDefault="008D445B" w:rsidP="00771A06">
            <w:pPr>
              <w:spacing w:after="0"/>
              <w:rPr>
                <w:rFonts w:ascii="Arial" w:eastAsia="Times New Roman" w:hAnsi="Arial" w:cs="Arial"/>
                <w:sz w:val="20"/>
                <w:szCs w:val="20"/>
                <w:lang w:eastAsia="en-GB"/>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276C5C" w14:textId="77777777" w:rsidR="008D445B" w:rsidRPr="00182589" w:rsidRDefault="004A14A8" w:rsidP="00771A06">
            <w:pPr>
              <w:spacing w:after="0"/>
              <w:jc w:val="center"/>
              <w:rPr>
                <w:rFonts w:ascii="Arial" w:eastAsia="Times New Roman" w:hAnsi="Arial" w:cs="Arial"/>
                <w:b/>
                <w:bCs/>
                <w:kern w:val="24"/>
                <w:sz w:val="20"/>
                <w:szCs w:val="20"/>
                <w:lang w:eastAsia="en-GB"/>
              </w:rPr>
            </w:pPr>
            <w:r w:rsidRPr="00182589">
              <w:rPr>
                <w:rFonts w:ascii="Arial" w:eastAsia="Times New Roman" w:hAnsi="Arial" w:cs="Arial"/>
                <w:b/>
                <w:bCs/>
                <w:kern w:val="24"/>
                <w:sz w:val="20"/>
                <w:szCs w:val="20"/>
                <w:lang w:eastAsia="en-GB"/>
              </w:rPr>
              <w:t>Type 1 Diabetes</w:t>
            </w:r>
          </w:p>
          <w:p w14:paraId="4851346F" w14:textId="4226C588" w:rsidR="004A14A8" w:rsidRPr="00182589" w:rsidRDefault="00EF5FF5" w:rsidP="00771A06">
            <w:pPr>
              <w:spacing w:after="0"/>
              <w:jc w:val="center"/>
              <w:rPr>
                <w:rFonts w:ascii="Arial" w:eastAsia="Times New Roman" w:hAnsi="Arial" w:cs="Arial"/>
                <w:sz w:val="20"/>
                <w:szCs w:val="20"/>
                <w:lang w:eastAsia="en-GB"/>
              </w:rPr>
            </w:pPr>
            <w:r w:rsidRPr="00182589">
              <w:rPr>
                <w:rFonts w:ascii="Arial" w:eastAsia="Times New Roman" w:hAnsi="Arial" w:cs="Arial"/>
                <w:sz w:val="20"/>
                <w:szCs w:val="20"/>
                <w:lang w:eastAsia="en-GB"/>
              </w:rPr>
              <w:t>n=565</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53BD0A" w14:textId="77777777" w:rsidR="008D445B" w:rsidRPr="00182589" w:rsidRDefault="00EF5FF5" w:rsidP="00771A06">
            <w:pPr>
              <w:spacing w:after="0"/>
              <w:jc w:val="center"/>
              <w:rPr>
                <w:rFonts w:ascii="Arial" w:eastAsia="Times New Roman" w:hAnsi="Arial" w:cs="Arial"/>
                <w:b/>
                <w:bCs/>
                <w:kern w:val="24"/>
                <w:sz w:val="20"/>
                <w:szCs w:val="20"/>
                <w:lang w:eastAsia="en-GB"/>
              </w:rPr>
            </w:pPr>
            <w:r w:rsidRPr="00182589">
              <w:rPr>
                <w:rFonts w:ascii="Arial" w:eastAsia="Times New Roman" w:hAnsi="Arial" w:cs="Arial"/>
                <w:b/>
                <w:bCs/>
                <w:kern w:val="24"/>
                <w:sz w:val="20"/>
                <w:szCs w:val="20"/>
                <w:lang w:eastAsia="en-GB"/>
              </w:rPr>
              <w:t>Type 2 Diabetes</w:t>
            </w:r>
          </w:p>
          <w:p w14:paraId="5B8DC5FB" w14:textId="1AB914F7" w:rsidR="00EF5FF5" w:rsidRPr="00182589" w:rsidRDefault="00EF5FF5" w:rsidP="00771A06">
            <w:pPr>
              <w:spacing w:after="0"/>
              <w:jc w:val="center"/>
              <w:rPr>
                <w:rFonts w:ascii="Arial" w:eastAsia="Times New Roman" w:hAnsi="Arial" w:cs="Arial"/>
                <w:sz w:val="20"/>
                <w:szCs w:val="20"/>
                <w:lang w:eastAsia="en-GB"/>
              </w:rPr>
            </w:pPr>
            <w:r w:rsidRPr="00182589">
              <w:rPr>
                <w:rFonts w:ascii="Arial" w:eastAsia="Times New Roman" w:hAnsi="Arial" w:cs="Arial"/>
                <w:sz w:val="20"/>
                <w:szCs w:val="20"/>
                <w:lang w:eastAsia="en-GB"/>
              </w:rPr>
              <w:t>n=715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F11B80" w14:textId="77777777" w:rsidR="008D445B" w:rsidRPr="00182589" w:rsidRDefault="008D445B" w:rsidP="00771A06">
            <w:pPr>
              <w:spacing w:after="0"/>
              <w:jc w:val="center"/>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p</w:t>
            </w:r>
          </w:p>
        </w:tc>
      </w:tr>
      <w:tr w:rsidR="00182589" w:rsidRPr="00182589" w14:paraId="1671018A" w14:textId="77777777" w:rsidTr="00771A06">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47FDD328" w14:textId="77777777" w:rsidR="008D445B" w:rsidRPr="00182589" w:rsidRDefault="008D445B" w:rsidP="00771A06">
            <w:pPr>
              <w:spacing w:after="0"/>
              <w:textAlignment w:val="bottom"/>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 xml:space="preserve"> Baseline characteristics</w:t>
            </w:r>
          </w:p>
        </w:tc>
        <w:tc>
          <w:tcPr>
            <w:tcW w:w="5752" w:type="dxa"/>
            <w:gridSpan w:val="3"/>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6F9A886F" w14:textId="77777777" w:rsidR="008D445B" w:rsidRPr="00182589" w:rsidRDefault="008D445B" w:rsidP="00771A06">
            <w:pPr>
              <w:spacing w:after="0"/>
              <w:rPr>
                <w:rFonts w:ascii="Arial" w:eastAsia="Times New Roman" w:hAnsi="Arial" w:cs="Arial"/>
                <w:sz w:val="20"/>
                <w:szCs w:val="20"/>
                <w:lang w:eastAsia="en-GB"/>
              </w:rPr>
            </w:pPr>
          </w:p>
        </w:tc>
      </w:tr>
      <w:tr w:rsidR="00182589" w:rsidRPr="00182589" w14:paraId="2D315295"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0854BE50"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Age at diagnosis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615B8DD" w14:textId="22A3A312" w:rsidR="001D3C05" w:rsidRPr="00182589" w:rsidRDefault="001D3C05" w:rsidP="001D3C05">
            <w:pPr>
              <w:jc w:val="center"/>
              <w:rPr>
                <w:rFonts w:ascii="Arial" w:hAnsi="Arial" w:cs="Arial"/>
                <w:sz w:val="20"/>
                <w:szCs w:val="20"/>
              </w:rPr>
            </w:pPr>
            <w:r w:rsidRPr="00182589">
              <w:rPr>
                <w:rFonts w:ascii="Arial" w:hAnsi="Arial" w:cs="Arial"/>
                <w:sz w:val="20"/>
                <w:szCs w:val="20"/>
              </w:rPr>
              <w:t>38.6 (37.4-39.8)</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A61B9CB" w14:textId="59E8B99D" w:rsidR="001D3C05" w:rsidRPr="00182589" w:rsidRDefault="001D3C05" w:rsidP="001D3C05">
            <w:pPr>
              <w:jc w:val="center"/>
              <w:rPr>
                <w:rFonts w:ascii="Arial" w:hAnsi="Arial" w:cs="Arial"/>
                <w:sz w:val="20"/>
                <w:szCs w:val="20"/>
              </w:rPr>
            </w:pPr>
            <w:r w:rsidRPr="00182589">
              <w:rPr>
                <w:rFonts w:ascii="Arial" w:hAnsi="Arial" w:cs="Arial"/>
                <w:sz w:val="20"/>
                <w:szCs w:val="20"/>
              </w:rPr>
              <w:t>50.5 (49.6-51.4)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22193D7" w14:textId="4CC5861E"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62F0D4F2"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5839EFCD"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Duration (months)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1B164DD" w14:textId="16DB25BC" w:rsidR="001D3C05" w:rsidRPr="00182589" w:rsidRDefault="001D3C05" w:rsidP="001D3C05">
            <w:pPr>
              <w:jc w:val="center"/>
              <w:rPr>
                <w:rFonts w:ascii="Arial" w:hAnsi="Arial" w:cs="Arial"/>
                <w:sz w:val="20"/>
                <w:szCs w:val="20"/>
              </w:rPr>
            </w:pPr>
            <w:r w:rsidRPr="00182589">
              <w:rPr>
                <w:rFonts w:ascii="Arial" w:hAnsi="Arial" w:cs="Arial"/>
                <w:sz w:val="20"/>
                <w:szCs w:val="20"/>
              </w:rPr>
              <w:t>4.6 (4.3-4.9)</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D774083" w14:textId="621406E0" w:rsidR="001D3C05" w:rsidRPr="00182589" w:rsidRDefault="001D3C05" w:rsidP="001D3C05">
            <w:pPr>
              <w:jc w:val="center"/>
              <w:rPr>
                <w:rFonts w:ascii="Arial" w:hAnsi="Arial" w:cs="Arial"/>
                <w:sz w:val="20"/>
                <w:szCs w:val="20"/>
              </w:rPr>
            </w:pPr>
            <w:r w:rsidRPr="00182589">
              <w:rPr>
                <w:rFonts w:ascii="Arial" w:hAnsi="Arial" w:cs="Arial"/>
                <w:sz w:val="20"/>
                <w:szCs w:val="20"/>
              </w:rPr>
              <w:t>5.6 (5.3-5.8)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2F2AD57" w14:textId="255089C1"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4FFE278F"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4C2628F2"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BMI kg/m</w:t>
            </w:r>
            <w:r w:rsidRPr="00182589">
              <w:rPr>
                <w:rFonts w:ascii="Arial" w:eastAsia="Times New Roman" w:hAnsi="Arial" w:cs="Arial"/>
                <w:kern w:val="24"/>
                <w:position w:val="7"/>
                <w:sz w:val="20"/>
                <w:szCs w:val="20"/>
                <w:vertAlign w:val="superscript"/>
                <w:lang w:eastAsia="en-GB"/>
              </w:rPr>
              <w:t>2</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EFDAE5E" w14:textId="22F15BDA" w:rsidR="001D3C05" w:rsidRPr="00182589" w:rsidRDefault="001D3C05" w:rsidP="001D3C05">
            <w:pPr>
              <w:jc w:val="center"/>
              <w:rPr>
                <w:rFonts w:ascii="Arial" w:hAnsi="Arial" w:cs="Arial"/>
                <w:sz w:val="20"/>
                <w:szCs w:val="20"/>
              </w:rPr>
            </w:pPr>
            <w:r w:rsidRPr="00182589">
              <w:rPr>
                <w:rFonts w:ascii="Arial" w:hAnsi="Arial" w:cs="Arial"/>
                <w:sz w:val="20"/>
                <w:szCs w:val="20"/>
              </w:rPr>
              <w:t>25.0 (24.7-25.4)</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5173FEA" w14:textId="3E5E8D76" w:rsidR="001D3C05" w:rsidRPr="00182589" w:rsidRDefault="001D3C05" w:rsidP="001D3C05">
            <w:pPr>
              <w:jc w:val="center"/>
              <w:rPr>
                <w:rFonts w:ascii="Arial" w:hAnsi="Arial" w:cs="Arial"/>
                <w:sz w:val="20"/>
                <w:szCs w:val="20"/>
              </w:rPr>
            </w:pPr>
            <w:r w:rsidRPr="00182589">
              <w:rPr>
                <w:rFonts w:ascii="Arial" w:hAnsi="Arial" w:cs="Arial"/>
                <w:sz w:val="20"/>
                <w:szCs w:val="20"/>
              </w:rPr>
              <w:t>33.4 (32.9-34.0)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7FBBFE9" w14:textId="78B937EB"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2B53D5B6"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4407196"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Gender (male)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7528320" w14:textId="358CEF7E" w:rsidR="001D3C05" w:rsidRPr="00182589" w:rsidRDefault="001D3C05" w:rsidP="001D3C05">
            <w:pPr>
              <w:jc w:val="center"/>
              <w:rPr>
                <w:rFonts w:ascii="Arial" w:hAnsi="Arial" w:cs="Arial"/>
                <w:sz w:val="20"/>
                <w:szCs w:val="20"/>
              </w:rPr>
            </w:pPr>
            <w:r w:rsidRPr="00182589">
              <w:rPr>
                <w:rFonts w:ascii="Arial" w:hAnsi="Arial" w:cs="Arial"/>
                <w:sz w:val="20"/>
                <w:szCs w:val="20"/>
              </w:rPr>
              <w:t>52% (47-56)</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37D3139" w14:textId="13A1F90E" w:rsidR="001D3C05" w:rsidRPr="00182589" w:rsidRDefault="001D3C05" w:rsidP="001D3C05">
            <w:pPr>
              <w:jc w:val="center"/>
              <w:rPr>
                <w:rFonts w:ascii="Arial" w:hAnsi="Arial" w:cs="Arial"/>
                <w:sz w:val="20"/>
                <w:szCs w:val="20"/>
              </w:rPr>
            </w:pPr>
            <w:r w:rsidRPr="00182589">
              <w:rPr>
                <w:rFonts w:ascii="Arial" w:hAnsi="Arial" w:cs="Arial"/>
                <w:sz w:val="20"/>
                <w:szCs w:val="20"/>
              </w:rPr>
              <w:t>57% (53-61)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4D6464E" w14:textId="6B2A5C2F" w:rsidR="001D3C05" w:rsidRPr="00182589" w:rsidRDefault="001D3C05" w:rsidP="001D3C05">
            <w:pPr>
              <w:jc w:val="center"/>
              <w:rPr>
                <w:rFonts w:ascii="Arial" w:hAnsi="Arial" w:cs="Arial"/>
                <w:sz w:val="20"/>
                <w:szCs w:val="20"/>
              </w:rPr>
            </w:pPr>
            <w:r w:rsidRPr="00182589">
              <w:rPr>
                <w:rFonts w:ascii="Arial" w:hAnsi="Arial" w:cs="Arial"/>
                <w:sz w:val="20"/>
                <w:szCs w:val="20"/>
              </w:rPr>
              <w:t>0.06</w:t>
            </w:r>
          </w:p>
        </w:tc>
      </w:tr>
      <w:tr w:rsidR="00182589" w:rsidRPr="00182589" w14:paraId="282F89B4"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tcPr>
          <w:p w14:paraId="4A3A6382" w14:textId="6DF1FF82" w:rsidR="001D3C05" w:rsidRPr="00182589" w:rsidRDefault="001D3C05" w:rsidP="001D3C05">
            <w:pPr>
              <w:spacing w:after="0"/>
              <w:textAlignment w:val="bottom"/>
              <w:rPr>
                <w:rFonts w:ascii="Arial" w:eastAsia="Times New Roman" w:hAnsi="Arial" w:cs="Arial"/>
                <w:kern w:val="24"/>
                <w:sz w:val="20"/>
                <w:szCs w:val="20"/>
                <w:lang w:eastAsia="en-GB"/>
              </w:rPr>
            </w:pPr>
            <w:r w:rsidRPr="00182589">
              <w:rPr>
                <w:rFonts w:ascii="Arial" w:eastAsia="Times New Roman" w:hAnsi="Arial" w:cs="Arial"/>
                <w:kern w:val="24"/>
                <w:sz w:val="20"/>
                <w:szCs w:val="20"/>
                <w:lang w:eastAsia="en-GB"/>
              </w:rPr>
              <w:t>White European</w:t>
            </w:r>
            <w:r w:rsidR="0052661C" w:rsidRPr="00182589">
              <w:rPr>
                <w:rFonts w:ascii="Arial" w:eastAsia="Times New Roman" w:hAnsi="Arial" w:cs="Arial"/>
                <w:kern w:val="24"/>
                <w:sz w:val="20"/>
                <w:szCs w:val="20"/>
                <w:lang w:eastAsia="en-GB"/>
              </w:rPr>
              <w:t xml:space="preserve"> ethnicity</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D085B80" w14:textId="77D10050" w:rsidR="001D3C05" w:rsidRPr="00182589" w:rsidRDefault="001D3C05" w:rsidP="001D3C05">
            <w:pPr>
              <w:jc w:val="center"/>
              <w:rPr>
                <w:rFonts w:ascii="Arial" w:hAnsi="Arial" w:cs="Arial"/>
                <w:sz w:val="20"/>
                <w:szCs w:val="20"/>
              </w:rPr>
            </w:pPr>
            <w:r w:rsidRPr="00182589">
              <w:rPr>
                <w:rFonts w:ascii="Arial" w:hAnsi="Arial" w:cs="Arial"/>
                <w:sz w:val="20"/>
                <w:szCs w:val="20"/>
              </w:rPr>
              <w:t>91% (88-93)</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4AB1F36" w14:textId="0A673925" w:rsidR="001D3C05" w:rsidRPr="00182589" w:rsidRDefault="001D3C05" w:rsidP="001D3C05">
            <w:pPr>
              <w:jc w:val="center"/>
              <w:rPr>
                <w:rFonts w:ascii="Arial" w:hAnsi="Arial" w:cs="Arial"/>
                <w:sz w:val="20"/>
                <w:szCs w:val="20"/>
              </w:rPr>
            </w:pPr>
            <w:r w:rsidRPr="00182589">
              <w:rPr>
                <w:rFonts w:ascii="Arial" w:hAnsi="Arial" w:cs="Arial"/>
                <w:sz w:val="20"/>
                <w:szCs w:val="20"/>
              </w:rPr>
              <w:t>86% (83-88)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3D908B3" w14:textId="0C3C7A86" w:rsidR="001D3C05" w:rsidRPr="00182589" w:rsidRDefault="001D3C05" w:rsidP="001D3C05">
            <w:pPr>
              <w:jc w:val="center"/>
              <w:rPr>
                <w:rFonts w:ascii="Arial" w:hAnsi="Arial" w:cs="Arial"/>
                <w:sz w:val="20"/>
                <w:szCs w:val="20"/>
              </w:rPr>
            </w:pPr>
            <w:r w:rsidRPr="00182589">
              <w:rPr>
                <w:rFonts w:ascii="Arial" w:hAnsi="Arial" w:cs="Arial"/>
                <w:sz w:val="20"/>
                <w:szCs w:val="20"/>
              </w:rPr>
              <w:t>0.01</w:t>
            </w:r>
          </w:p>
        </w:tc>
      </w:tr>
      <w:tr w:rsidR="00182589" w:rsidRPr="00182589" w14:paraId="6C1ADD9E" w14:textId="77777777" w:rsidTr="00CE5A4E">
        <w:trPr>
          <w:trHeight w:val="304"/>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42C28D97" w14:textId="77777777" w:rsidR="001D3C05" w:rsidRPr="00182589" w:rsidRDefault="001D3C05" w:rsidP="001D3C05">
            <w:pPr>
              <w:spacing w:after="0"/>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 xml:space="preserve"> Symptoms at presentation</w:t>
            </w:r>
          </w:p>
        </w:tc>
        <w:tc>
          <w:tcPr>
            <w:tcW w:w="238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3CBEB378" w14:textId="77777777" w:rsidR="001D3C05" w:rsidRPr="00182589" w:rsidRDefault="001D3C05" w:rsidP="001D3C05">
            <w:pPr>
              <w:jc w:val="center"/>
              <w:rPr>
                <w:rFonts w:ascii="Arial" w:hAnsi="Arial" w:cs="Arial"/>
                <w:sz w:val="20"/>
                <w:szCs w:val="20"/>
              </w:rPr>
            </w:pPr>
          </w:p>
        </w:tc>
        <w:tc>
          <w:tcPr>
            <w:tcW w:w="23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7AF7E5B8" w14:textId="77777777" w:rsidR="001D3C05" w:rsidRPr="00182589" w:rsidRDefault="001D3C05" w:rsidP="001D3C05">
            <w:pPr>
              <w:jc w:val="center"/>
              <w:rPr>
                <w:rFonts w:ascii="Arial" w:hAnsi="Arial" w:cs="Arial"/>
                <w:sz w:val="20"/>
                <w:szCs w:val="20"/>
              </w:rPr>
            </w:pP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1334CFF6" w14:textId="77777777" w:rsidR="001D3C05" w:rsidRPr="00182589" w:rsidRDefault="001D3C05" w:rsidP="001D3C05">
            <w:pPr>
              <w:jc w:val="center"/>
              <w:rPr>
                <w:rFonts w:ascii="Arial" w:hAnsi="Arial" w:cs="Arial"/>
                <w:sz w:val="20"/>
                <w:szCs w:val="20"/>
              </w:rPr>
            </w:pPr>
          </w:p>
        </w:tc>
      </w:tr>
      <w:tr w:rsidR="00182589" w:rsidRPr="00182589" w14:paraId="5ECE2BEF"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5DB4DAA7"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Unintentional weight loss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E351401" w14:textId="197036C5" w:rsidR="001D3C05" w:rsidRPr="00182589" w:rsidRDefault="001D3C05" w:rsidP="001D3C05">
            <w:pPr>
              <w:jc w:val="center"/>
              <w:rPr>
                <w:rFonts w:ascii="Arial" w:hAnsi="Arial" w:cs="Arial"/>
                <w:sz w:val="20"/>
                <w:szCs w:val="20"/>
              </w:rPr>
            </w:pPr>
            <w:r w:rsidRPr="00182589">
              <w:rPr>
                <w:rFonts w:ascii="Arial" w:hAnsi="Arial" w:cs="Arial"/>
                <w:sz w:val="20"/>
                <w:szCs w:val="20"/>
              </w:rPr>
              <w:t>83% (80-86)</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54D5450" w14:textId="59382E24" w:rsidR="001D3C05" w:rsidRPr="00182589" w:rsidRDefault="001D3C05" w:rsidP="001D3C05">
            <w:pPr>
              <w:jc w:val="center"/>
              <w:rPr>
                <w:rFonts w:ascii="Arial" w:hAnsi="Arial" w:cs="Arial"/>
                <w:sz w:val="20"/>
                <w:szCs w:val="20"/>
              </w:rPr>
            </w:pPr>
            <w:r w:rsidRPr="00182589">
              <w:rPr>
                <w:rFonts w:ascii="Arial" w:hAnsi="Arial" w:cs="Arial"/>
                <w:sz w:val="20"/>
                <w:szCs w:val="20"/>
              </w:rPr>
              <w:t>16% (13-18)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2A854E9" w14:textId="00670961"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1FA96C65"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26785FFE" w14:textId="77777777" w:rsidR="001D3C05" w:rsidRPr="00182589" w:rsidRDefault="001D3C05" w:rsidP="001D3C05">
            <w:pPr>
              <w:spacing w:after="0"/>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Diabetic Ketoacidosis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30769E3" w14:textId="19B68D30" w:rsidR="001D3C05" w:rsidRPr="00182589" w:rsidRDefault="001D3C05" w:rsidP="001D3C05">
            <w:pPr>
              <w:jc w:val="center"/>
              <w:rPr>
                <w:rFonts w:ascii="Arial" w:hAnsi="Arial" w:cs="Arial"/>
                <w:sz w:val="20"/>
                <w:szCs w:val="20"/>
              </w:rPr>
            </w:pPr>
            <w:r w:rsidRPr="00182589">
              <w:rPr>
                <w:rFonts w:ascii="Arial" w:hAnsi="Arial" w:cs="Arial"/>
                <w:sz w:val="20"/>
                <w:szCs w:val="20"/>
              </w:rPr>
              <w:t>20% (17-23)</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E7628C4" w14:textId="13101D45" w:rsidR="001D3C05" w:rsidRPr="00182589" w:rsidRDefault="001D3C05" w:rsidP="001D3C05">
            <w:pPr>
              <w:jc w:val="center"/>
              <w:rPr>
                <w:rFonts w:ascii="Arial" w:hAnsi="Arial" w:cs="Arial"/>
                <w:sz w:val="20"/>
                <w:szCs w:val="20"/>
              </w:rPr>
            </w:pPr>
            <w:r w:rsidRPr="00182589">
              <w:rPr>
                <w:rFonts w:ascii="Arial" w:hAnsi="Arial" w:cs="Arial"/>
                <w:sz w:val="20"/>
                <w:szCs w:val="20"/>
              </w:rPr>
              <w:t>0% (0-0)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606D86C" w14:textId="61AB1375"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27BC456B"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41B02B45"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Osmotic symptoms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E78C1F9" w14:textId="25E80E84" w:rsidR="001D3C05" w:rsidRPr="00182589" w:rsidRDefault="001D3C05" w:rsidP="001D3C05">
            <w:pPr>
              <w:jc w:val="center"/>
              <w:rPr>
                <w:rFonts w:ascii="Arial" w:hAnsi="Arial" w:cs="Arial"/>
                <w:sz w:val="20"/>
                <w:szCs w:val="20"/>
              </w:rPr>
            </w:pPr>
            <w:r w:rsidRPr="00182589">
              <w:rPr>
                <w:rFonts w:ascii="Arial" w:hAnsi="Arial" w:cs="Arial"/>
                <w:sz w:val="20"/>
                <w:szCs w:val="20"/>
              </w:rPr>
              <w:t>94% (92-96)</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9B62103" w14:textId="51D16252" w:rsidR="001D3C05" w:rsidRPr="00182589" w:rsidRDefault="001D3C05" w:rsidP="001D3C05">
            <w:pPr>
              <w:jc w:val="center"/>
              <w:rPr>
                <w:rFonts w:ascii="Arial" w:hAnsi="Arial" w:cs="Arial"/>
                <w:sz w:val="20"/>
                <w:szCs w:val="20"/>
              </w:rPr>
            </w:pPr>
            <w:r w:rsidRPr="00182589">
              <w:rPr>
                <w:rFonts w:ascii="Arial" w:hAnsi="Arial" w:cs="Arial"/>
                <w:sz w:val="20"/>
                <w:szCs w:val="20"/>
              </w:rPr>
              <w:t>62% (58-65)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B1D225D" w14:textId="1E07E8DF"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1D68D175"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7CBFE89E"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 xml:space="preserve"> Biochemistry at presentation</w:t>
            </w:r>
          </w:p>
        </w:tc>
        <w:tc>
          <w:tcPr>
            <w:tcW w:w="238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694BF1ED" w14:textId="77777777" w:rsidR="001D3C05" w:rsidRPr="00182589" w:rsidRDefault="001D3C05" w:rsidP="001D3C05">
            <w:pPr>
              <w:jc w:val="center"/>
              <w:rPr>
                <w:rFonts w:ascii="Arial" w:hAnsi="Arial" w:cs="Arial"/>
                <w:sz w:val="20"/>
                <w:szCs w:val="20"/>
              </w:rPr>
            </w:pPr>
          </w:p>
        </w:tc>
        <w:tc>
          <w:tcPr>
            <w:tcW w:w="23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218D0D1B" w14:textId="77777777" w:rsidR="001D3C05" w:rsidRPr="00182589" w:rsidRDefault="001D3C05" w:rsidP="001D3C05">
            <w:pPr>
              <w:jc w:val="center"/>
              <w:rPr>
                <w:rFonts w:ascii="Arial" w:hAnsi="Arial" w:cs="Arial"/>
                <w:sz w:val="20"/>
                <w:szCs w:val="20"/>
              </w:rPr>
            </w:pP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3B3C8FE3" w14:textId="77777777" w:rsidR="001D3C05" w:rsidRPr="00182589" w:rsidRDefault="001D3C05" w:rsidP="001D3C05">
            <w:pPr>
              <w:jc w:val="center"/>
              <w:rPr>
                <w:rFonts w:ascii="Arial" w:hAnsi="Arial" w:cs="Arial"/>
                <w:sz w:val="20"/>
                <w:szCs w:val="20"/>
              </w:rPr>
            </w:pPr>
          </w:p>
        </w:tc>
      </w:tr>
      <w:tr w:rsidR="00182589" w:rsidRPr="00182589" w14:paraId="32EB881B"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59382EBF"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HbA1c at diagnosis mmol/mol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B664CE5" w14:textId="57F98240" w:rsidR="001D3C05" w:rsidRPr="00182589" w:rsidRDefault="001D3C05" w:rsidP="001D3C05">
            <w:pPr>
              <w:jc w:val="center"/>
              <w:rPr>
                <w:rFonts w:ascii="Arial" w:hAnsi="Arial" w:cs="Arial"/>
                <w:sz w:val="20"/>
                <w:szCs w:val="20"/>
              </w:rPr>
            </w:pPr>
            <w:r w:rsidRPr="00182589">
              <w:rPr>
                <w:rFonts w:ascii="Arial" w:hAnsi="Arial" w:cs="Arial"/>
                <w:sz w:val="20"/>
                <w:szCs w:val="20"/>
              </w:rPr>
              <w:t>104.3 (102.0-106.6)</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EA0E287" w14:textId="0EF50AFA" w:rsidR="001D3C05" w:rsidRPr="00182589" w:rsidRDefault="001D3C05" w:rsidP="001D3C05">
            <w:pPr>
              <w:jc w:val="center"/>
              <w:rPr>
                <w:rFonts w:ascii="Arial" w:hAnsi="Arial" w:cs="Arial"/>
                <w:sz w:val="20"/>
                <w:szCs w:val="20"/>
              </w:rPr>
            </w:pPr>
            <w:r w:rsidRPr="00182589">
              <w:rPr>
                <w:rFonts w:ascii="Arial" w:hAnsi="Arial" w:cs="Arial"/>
                <w:sz w:val="20"/>
                <w:szCs w:val="20"/>
              </w:rPr>
              <w:t>69.3 (67.5-71.1)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D1F401D" w14:textId="0B5FD0C4"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110BFA1F"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tcPr>
          <w:p w14:paraId="10D1391F" w14:textId="77777777" w:rsidR="001D3C05" w:rsidRPr="00182589" w:rsidRDefault="001D3C05" w:rsidP="001D3C05">
            <w:pPr>
              <w:spacing w:after="0"/>
              <w:textAlignment w:val="bottom"/>
              <w:rPr>
                <w:rFonts w:ascii="Arial" w:eastAsia="Times New Roman" w:hAnsi="Arial" w:cs="Arial"/>
                <w:kern w:val="24"/>
                <w:sz w:val="20"/>
                <w:szCs w:val="20"/>
                <w:lang w:eastAsia="en-GB"/>
              </w:rPr>
            </w:pPr>
            <w:r w:rsidRPr="00182589">
              <w:rPr>
                <w:rFonts w:ascii="Arial" w:eastAsia="Times New Roman" w:hAnsi="Arial" w:cs="Arial"/>
                <w:kern w:val="24"/>
                <w:sz w:val="20"/>
                <w:szCs w:val="20"/>
                <w:lang w:eastAsia="en-GB"/>
              </w:rPr>
              <w:t>HbA1c at diagnosis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5890E69" w14:textId="161BD9E6" w:rsidR="001D3C05" w:rsidRPr="00182589" w:rsidRDefault="001D3C05" w:rsidP="001D3C05">
            <w:pPr>
              <w:jc w:val="center"/>
              <w:rPr>
                <w:rFonts w:ascii="Arial" w:hAnsi="Arial" w:cs="Arial"/>
                <w:sz w:val="20"/>
                <w:szCs w:val="20"/>
              </w:rPr>
            </w:pPr>
            <w:r w:rsidRPr="00182589">
              <w:rPr>
                <w:rFonts w:ascii="Arial" w:hAnsi="Arial" w:cs="Arial"/>
                <w:sz w:val="20"/>
                <w:szCs w:val="20"/>
              </w:rPr>
              <w:t>11.7 (11.5-11.9)</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5FABC2B" w14:textId="4F2BF2FD" w:rsidR="001D3C05" w:rsidRPr="00182589" w:rsidRDefault="001D3C05" w:rsidP="001D3C05">
            <w:pPr>
              <w:jc w:val="center"/>
              <w:rPr>
                <w:rFonts w:ascii="Arial" w:hAnsi="Arial" w:cs="Arial"/>
                <w:sz w:val="20"/>
                <w:szCs w:val="20"/>
              </w:rPr>
            </w:pPr>
            <w:r w:rsidRPr="00182589">
              <w:rPr>
                <w:rFonts w:ascii="Arial" w:hAnsi="Arial" w:cs="Arial"/>
                <w:sz w:val="20"/>
                <w:szCs w:val="20"/>
              </w:rPr>
              <w:t>8.5 (8.3-8.7)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F119848" w14:textId="30E51755"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586DCBD6"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13872366"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Glucose at diagnosis mmol/l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265B302" w14:textId="6F6C67AF" w:rsidR="001D3C05" w:rsidRPr="00182589" w:rsidRDefault="001D3C05" w:rsidP="001D3C05">
            <w:pPr>
              <w:jc w:val="center"/>
              <w:rPr>
                <w:rFonts w:ascii="Arial" w:hAnsi="Arial" w:cs="Arial"/>
                <w:sz w:val="20"/>
                <w:szCs w:val="20"/>
              </w:rPr>
            </w:pPr>
            <w:r w:rsidRPr="00182589">
              <w:rPr>
                <w:rFonts w:ascii="Arial" w:hAnsi="Arial" w:cs="Arial"/>
                <w:sz w:val="20"/>
                <w:szCs w:val="20"/>
              </w:rPr>
              <w:t>20.9 (20.1-21.8)</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2911AFC" w14:textId="270583AE" w:rsidR="001D3C05" w:rsidRPr="00182589" w:rsidRDefault="001D3C05" w:rsidP="001D3C05">
            <w:pPr>
              <w:jc w:val="center"/>
              <w:rPr>
                <w:rFonts w:ascii="Arial" w:hAnsi="Arial" w:cs="Arial"/>
                <w:sz w:val="20"/>
                <w:szCs w:val="20"/>
              </w:rPr>
            </w:pPr>
            <w:r w:rsidRPr="00182589">
              <w:rPr>
                <w:rFonts w:ascii="Arial" w:hAnsi="Arial" w:cs="Arial"/>
                <w:sz w:val="20"/>
                <w:szCs w:val="20"/>
              </w:rPr>
              <w:t>12.1 (11.3-12.8)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3C5056C" w14:textId="307D2321"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3739245F"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0731B526"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 xml:space="preserve">  Management at presentation</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8FF3592" w14:textId="77777777" w:rsidR="001D3C05" w:rsidRPr="00182589" w:rsidRDefault="001D3C05" w:rsidP="001D3C05">
            <w:pPr>
              <w:jc w:val="center"/>
              <w:rPr>
                <w:rFonts w:ascii="Arial" w:hAnsi="Arial" w:cs="Arial"/>
                <w:sz w:val="20"/>
                <w:szCs w:val="20"/>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1B6CF73" w14:textId="77777777" w:rsidR="001D3C05" w:rsidRPr="00182589" w:rsidRDefault="001D3C05" w:rsidP="001D3C05">
            <w:pPr>
              <w:jc w:val="center"/>
              <w:rPr>
                <w:rFonts w:ascii="Arial" w:hAnsi="Arial" w:cs="Arial"/>
                <w:sz w:val="20"/>
                <w:szCs w:val="20"/>
              </w:rPr>
            </w:pPr>
          </w:p>
        </w:tc>
        <w:tc>
          <w:tcPr>
            <w:tcW w:w="992"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2D41251A" w14:textId="77777777" w:rsidR="001D3C05" w:rsidRPr="00182589" w:rsidRDefault="001D3C05" w:rsidP="001D3C05">
            <w:pPr>
              <w:jc w:val="center"/>
              <w:rPr>
                <w:rFonts w:ascii="Arial" w:hAnsi="Arial" w:cs="Arial"/>
                <w:sz w:val="20"/>
                <w:szCs w:val="20"/>
              </w:rPr>
            </w:pPr>
          </w:p>
        </w:tc>
      </w:tr>
      <w:tr w:rsidR="00182589" w:rsidRPr="00182589" w14:paraId="5FDDB676"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263526C2"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Hospitalised at admission</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01C9693" w14:textId="264FF707" w:rsidR="001D3C05" w:rsidRPr="00182589" w:rsidRDefault="001D3C05" w:rsidP="001D3C05">
            <w:pPr>
              <w:jc w:val="center"/>
              <w:rPr>
                <w:rFonts w:ascii="Arial" w:hAnsi="Arial" w:cs="Arial"/>
                <w:sz w:val="20"/>
                <w:szCs w:val="20"/>
              </w:rPr>
            </w:pPr>
            <w:r w:rsidRPr="00182589">
              <w:rPr>
                <w:rFonts w:ascii="Arial" w:hAnsi="Arial" w:cs="Arial"/>
                <w:sz w:val="20"/>
                <w:szCs w:val="20"/>
              </w:rPr>
              <w:t>51% (47-55)</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3C964C9" w14:textId="62230FCE" w:rsidR="001D3C05" w:rsidRPr="00182589" w:rsidRDefault="001D3C05" w:rsidP="001D3C05">
            <w:pPr>
              <w:jc w:val="center"/>
              <w:rPr>
                <w:rFonts w:ascii="Arial" w:hAnsi="Arial" w:cs="Arial"/>
                <w:sz w:val="20"/>
                <w:szCs w:val="20"/>
              </w:rPr>
            </w:pPr>
            <w:r w:rsidRPr="00182589">
              <w:rPr>
                <w:rFonts w:ascii="Arial" w:hAnsi="Arial" w:cs="Arial"/>
                <w:sz w:val="20"/>
                <w:szCs w:val="20"/>
              </w:rPr>
              <w:t>6% (4-7)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02C55A1" w14:textId="18B2F4DB"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4D611BCD"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57ADB6D1"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Initial insulin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E4B439F" w14:textId="4F8A1B6F" w:rsidR="001D3C05" w:rsidRPr="00182589" w:rsidRDefault="001D3C05" w:rsidP="001D3C05">
            <w:pPr>
              <w:jc w:val="center"/>
              <w:rPr>
                <w:rFonts w:ascii="Arial" w:hAnsi="Arial" w:cs="Arial"/>
                <w:sz w:val="20"/>
                <w:szCs w:val="20"/>
              </w:rPr>
            </w:pPr>
            <w:r w:rsidRPr="00182589">
              <w:rPr>
                <w:rFonts w:ascii="Arial" w:hAnsi="Arial" w:cs="Arial"/>
                <w:sz w:val="20"/>
                <w:szCs w:val="20"/>
              </w:rPr>
              <w:t>88% (86-91)</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86E007A" w14:textId="65B74319" w:rsidR="001D3C05" w:rsidRPr="00182589" w:rsidRDefault="001D3C05" w:rsidP="001D3C05">
            <w:pPr>
              <w:jc w:val="center"/>
              <w:rPr>
                <w:rFonts w:ascii="Arial" w:hAnsi="Arial" w:cs="Arial"/>
                <w:sz w:val="20"/>
                <w:szCs w:val="20"/>
              </w:rPr>
            </w:pPr>
            <w:r w:rsidRPr="00182589">
              <w:rPr>
                <w:rFonts w:ascii="Arial" w:hAnsi="Arial" w:cs="Arial"/>
                <w:sz w:val="20"/>
                <w:szCs w:val="20"/>
              </w:rPr>
              <w:t>0% (0-0)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F1540BA" w14:textId="0F38B8BE"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3503ED45" w14:textId="77777777" w:rsidTr="00CE5A4E">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21746775"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Initial tablets (+/- insulin)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9B1C122" w14:textId="3050FBEF" w:rsidR="001D3C05" w:rsidRPr="00182589" w:rsidRDefault="001D3C05" w:rsidP="001D3C05">
            <w:pPr>
              <w:jc w:val="center"/>
              <w:rPr>
                <w:rFonts w:ascii="Arial" w:hAnsi="Arial" w:cs="Arial"/>
                <w:sz w:val="20"/>
                <w:szCs w:val="20"/>
              </w:rPr>
            </w:pPr>
            <w:r w:rsidRPr="00182589">
              <w:rPr>
                <w:rFonts w:ascii="Arial" w:hAnsi="Arial" w:cs="Arial"/>
                <w:sz w:val="20"/>
                <w:szCs w:val="20"/>
              </w:rPr>
              <w:t>17% (14-20)</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34AEFBA" w14:textId="2FB285EF" w:rsidR="001D3C05" w:rsidRPr="00182589" w:rsidRDefault="001D3C05" w:rsidP="001D3C05">
            <w:pPr>
              <w:jc w:val="center"/>
              <w:rPr>
                <w:rFonts w:ascii="Arial" w:hAnsi="Arial" w:cs="Arial"/>
                <w:sz w:val="20"/>
                <w:szCs w:val="20"/>
              </w:rPr>
            </w:pPr>
            <w:r w:rsidRPr="00182589">
              <w:rPr>
                <w:rFonts w:ascii="Arial" w:hAnsi="Arial" w:cs="Arial"/>
                <w:sz w:val="20"/>
                <w:szCs w:val="20"/>
              </w:rPr>
              <w:t>62% (58-66)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CDB52C9" w14:textId="303A711F"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63FFF1C8"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72B25165"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b/>
                <w:bCs/>
                <w:kern w:val="24"/>
                <w:sz w:val="20"/>
                <w:szCs w:val="20"/>
                <w:lang w:eastAsia="en-GB"/>
              </w:rPr>
              <w:t xml:space="preserve">  Recruitment characteristics </w:t>
            </w:r>
          </w:p>
        </w:tc>
        <w:tc>
          <w:tcPr>
            <w:tcW w:w="238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3DE98E05" w14:textId="77777777" w:rsidR="001D3C05" w:rsidRPr="00182589" w:rsidRDefault="001D3C05" w:rsidP="001D3C05">
            <w:pPr>
              <w:jc w:val="center"/>
              <w:rPr>
                <w:rFonts w:ascii="Arial" w:hAnsi="Arial" w:cs="Arial"/>
                <w:sz w:val="20"/>
                <w:szCs w:val="20"/>
              </w:rPr>
            </w:pPr>
          </w:p>
        </w:tc>
        <w:tc>
          <w:tcPr>
            <w:tcW w:w="23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3FA393F" w14:textId="77777777" w:rsidR="001D3C05" w:rsidRPr="00182589" w:rsidRDefault="001D3C05" w:rsidP="001D3C05">
            <w:pPr>
              <w:jc w:val="center"/>
              <w:rPr>
                <w:rFonts w:ascii="Arial" w:hAnsi="Arial" w:cs="Arial"/>
                <w:sz w:val="20"/>
                <w:szCs w:val="20"/>
              </w:rPr>
            </w:pP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71730126" w14:textId="77777777" w:rsidR="001D3C05" w:rsidRPr="00182589" w:rsidRDefault="001D3C05" w:rsidP="001D3C05">
            <w:pPr>
              <w:jc w:val="center"/>
              <w:rPr>
                <w:rFonts w:ascii="Arial" w:hAnsi="Arial" w:cs="Arial"/>
                <w:sz w:val="20"/>
                <w:szCs w:val="20"/>
              </w:rPr>
            </w:pPr>
          </w:p>
        </w:tc>
      </w:tr>
      <w:tr w:rsidR="00182589" w:rsidRPr="00182589" w14:paraId="6CA23BB6" w14:textId="77777777" w:rsidTr="00CE5A4E">
        <w:trPr>
          <w:trHeight w:val="222"/>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CEB83E8"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Geometric C-peptide </w:t>
            </w:r>
            <w:proofErr w:type="spellStart"/>
            <w:r w:rsidRPr="00182589">
              <w:rPr>
                <w:rFonts w:ascii="Arial" w:eastAsia="Times New Roman" w:hAnsi="Arial" w:cs="Arial"/>
                <w:kern w:val="24"/>
                <w:sz w:val="20"/>
                <w:szCs w:val="20"/>
                <w:lang w:eastAsia="en-GB"/>
              </w:rPr>
              <w:t>pmol</w:t>
            </w:r>
            <w:proofErr w:type="spellEnd"/>
            <w:r w:rsidRPr="00182589">
              <w:rPr>
                <w:rFonts w:ascii="Arial" w:eastAsia="Times New Roman" w:hAnsi="Arial" w:cs="Arial"/>
                <w:kern w:val="24"/>
                <w:sz w:val="20"/>
                <w:szCs w:val="20"/>
                <w:lang w:eastAsia="en-GB"/>
              </w:rPr>
              <w:t>/l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2305DF5" w14:textId="57514443" w:rsidR="001D3C05" w:rsidRPr="00182589" w:rsidRDefault="001D3C05" w:rsidP="001D3C05">
            <w:pPr>
              <w:jc w:val="center"/>
              <w:rPr>
                <w:rFonts w:ascii="Arial" w:hAnsi="Arial" w:cs="Arial"/>
                <w:sz w:val="20"/>
                <w:szCs w:val="20"/>
              </w:rPr>
            </w:pPr>
            <w:r w:rsidRPr="00182589">
              <w:rPr>
                <w:rFonts w:ascii="Arial" w:hAnsi="Arial" w:cs="Arial"/>
                <w:sz w:val="20"/>
                <w:szCs w:val="20"/>
              </w:rPr>
              <w:t>429.0 (394.7-463.2)</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4915174" w14:textId="21253B0F" w:rsidR="001D3C05" w:rsidRPr="00182589" w:rsidRDefault="001D3C05" w:rsidP="001D3C05">
            <w:pPr>
              <w:jc w:val="center"/>
              <w:rPr>
                <w:rFonts w:ascii="Arial" w:hAnsi="Arial" w:cs="Arial"/>
                <w:sz w:val="20"/>
                <w:szCs w:val="20"/>
              </w:rPr>
            </w:pPr>
            <w:r w:rsidRPr="00182589">
              <w:rPr>
                <w:rFonts w:ascii="Arial" w:hAnsi="Arial" w:cs="Arial"/>
                <w:sz w:val="20"/>
                <w:szCs w:val="20"/>
              </w:rPr>
              <w:t>1786.1 (1699.5-1872.7)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5EE93A0" w14:textId="324B70A1"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31BA8CBE" w14:textId="77777777" w:rsidTr="00CE5A4E">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26D9A61C"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Geometric UCPCR (nmol/mmol)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6C656B8" w14:textId="316D02C3" w:rsidR="001D3C05" w:rsidRPr="00182589" w:rsidRDefault="001D3C05" w:rsidP="001D3C05">
            <w:pPr>
              <w:jc w:val="center"/>
              <w:rPr>
                <w:rFonts w:ascii="Arial" w:hAnsi="Arial" w:cs="Arial"/>
                <w:sz w:val="20"/>
                <w:szCs w:val="20"/>
              </w:rPr>
            </w:pPr>
            <w:r w:rsidRPr="00182589">
              <w:rPr>
                <w:rFonts w:ascii="Arial" w:hAnsi="Arial" w:cs="Arial"/>
                <w:sz w:val="20"/>
                <w:szCs w:val="20"/>
              </w:rPr>
              <w:t>1.0 (0.9-1.1)</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1F97C75" w14:textId="7BB6A8B6" w:rsidR="001D3C05" w:rsidRPr="00182589" w:rsidRDefault="001D3C05" w:rsidP="001D3C05">
            <w:pPr>
              <w:jc w:val="center"/>
              <w:rPr>
                <w:rFonts w:ascii="Arial" w:hAnsi="Arial" w:cs="Arial"/>
                <w:sz w:val="20"/>
                <w:szCs w:val="20"/>
              </w:rPr>
            </w:pPr>
            <w:r w:rsidRPr="00182589">
              <w:rPr>
                <w:rFonts w:ascii="Arial" w:hAnsi="Arial" w:cs="Arial"/>
                <w:sz w:val="20"/>
                <w:szCs w:val="20"/>
              </w:rPr>
              <w:t>2.6 (2.4-2.8)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B283D0A" w14:textId="47FDAC9F"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77B1AF7C" w14:textId="77777777" w:rsidTr="00CE5A4E">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5CB612EA"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heme="minorEastAsia" w:hAnsi="Arial" w:cs="Arial"/>
                <w:kern w:val="24"/>
                <w:sz w:val="20"/>
                <w:szCs w:val="20"/>
                <w:lang w:eastAsia="en-GB"/>
              </w:rPr>
              <w:t>Insulin deficiency at baseline*</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007632" w14:textId="0BCE24CD" w:rsidR="001D3C05" w:rsidRPr="00182589" w:rsidRDefault="001D3C05" w:rsidP="001D3C05">
            <w:pPr>
              <w:jc w:val="center"/>
              <w:rPr>
                <w:rFonts w:ascii="Arial" w:hAnsi="Arial" w:cs="Arial"/>
                <w:sz w:val="20"/>
                <w:szCs w:val="20"/>
              </w:rPr>
            </w:pPr>
            <w:r w:rsidRPr="00182589">
              <w:rPr>
                <w:rFonts w:ascii="Arial" w:hAnsi="Arial" w:cs="Arial"/>
                <w:sz w:val="20"/>
                <w:szCs w:val="20"/>
              </w:rPr>
              <w:t>11% (8-13)</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C3382D" w14:textId="3E2A74BC" w:rsidR="001D3C05" w:rsidRPr="00182589" w:rsidRDefault="001D3C05" w:rsidP="001D3C05">
            <w:pPr>
              <w:jc w:val="center"/>
              <w:rPr>
                <w:rFonts w:ascii="Arial" w:hAnsi="Arial" w:cs="Arial"/>
                <w:sz w:val="20"/>
                <w:szCs w:val="20"/>
              </w:rPr>
            </w:pPr>
            <w:r w:rsidRPr="00182589">
              <w:rPr>
                <w:rFonts w:ascii="Arial" w:hAnsi="Arial" w:cs="Arial"/>
                <w:sz w:val="20"/>
                <w:szCs w:val="20"/>
              </w:rPr>
              <w:t>0% (0-1)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84EF249" w14:textId="3FFC333C"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2F773B5A" w14:textId="77777777" w:rsidTr="00CE5A4E">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76A6277F"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Reported type 1 at recruitment</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F46324A" w14:textId="2D3BD2C8" w:rsidR="001D3C05" w:rsidRPr="00182589" w:rsidRDefault="001D3C05" w:rsidP="001D3C05">
            <w:pPr>
              <w:jc w:val="center"/>
              <w:rPr>
                <w:rFonts w:ascii="Arial" w:hAnsi="Arial" w:cs="Arial"/>
                <w:sz w:val="20"/>
                <w:szCs w:val="20"/>
              </w:rPr>
            </w:pPr>
            <w:r w:rsidRPr="00182589">
              <w:rPr>
                <w:rFonts w:ascii="Arial" w:hAnsi="Arial" w:cs="Arial"/>
                <w:sz w:val="20"/>
                <w:szCs w:val="20"/>
              </w:rPr>
              <w:t>94% (92-96)</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304242A" w14:textId="3091492C" w:rsidR="001D3C05" w:rsidRPr="00182589" w:rsidRDefault="001D3C05" w:rsidP="001D3C05">
            <w:pPr>
              <w:jc w:val="center"/>
              <w:rPr>
                <w:rFonts w:ascii="Arial" w:hAnsi="Arial" w:cs="Arial"/>
                <w:sz w:val="20"/>
                <w:szCs w:val="20"/>
              </w:rPr>
            </w:pPr>
            <w:r w:rsidRPr="00182589">
              <w:rPr>
                <w:rFonts w:ascii="Arial" w:hAnsi="Arial" w:cs="Arial"/>
                <w:sz w:val="20"/>
                <w:szCs w:val="20"/>
              </w:rPr>
              <w:t>0% (0-0)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0EC2C95" w14:textId="2EB7DCCF"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735D6942" w14:textId="77777777" w:rsidTr="00CE5A4E">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0C2CC2D7"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Reported type 2 at recruitment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C3B6F19" w14:textId="0CFCCF04" w:rsidR="001D3C05" w:rsidRPr="00182589" w:rsidRDefault="001D3C05" w:rsidP="001D3C05">
            <w:pPr>
              <w:jc w:val="center"/>
              <w:rPr>
                <w:rFonts w:ascii="Arial" w:hAnsi="Arial" w:cs="Arial"/>
                <w:sz w:val="20"/>
                <w:szCs w:val="20"/>
              </w:rPr>
            </w:pPr>
            <w:r w:rsidRPr="00182589">
              <w:rPr>
                <w:rFonts w:ascii="Arial" w:hAnsi="Arial" w:cs="Arial"/>
                <w:sz w:val="20"/>
                <w:szCs w:val="20"/>
              </w:rPr>
              <w:t>3% (1-4)</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F21E65F" w14:textId="302024D3" w:rsidR="001D3C05" w:rsidRPr="00182589" w:rsidRDefault="001D3C05" w:rsidP="001D3C05">
            <w:pPr>
              <w:jc w:val="center"/>
              <w:rPr>
                <w:rFonts w:ascii="Arial" w:hAnsi="Arial" w:cs="Arial"/>
                <w:sz w:val="20"/>
                <w:szCs w:val="20"/>
              </w:rPr>
            </w:pPr>
            <w:r w:rsidRPr="00182589">
              <w:rPr>
                <w:rFonts w:ascii="Arial" w:hAnsi="Arial" w:cs="Arial"/>
                <w:sz w:val="20"/>
                <w:szCs w:val="20"/>
              </w:rPr>
              <w:t>100% (100-100)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28FD7FA" w14:textId="7243E253"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5596FFDC" w14:textId="77777777" w:rsidTr="00CE5A4E">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19C0834"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 xml:space="preserve">Insulin treatment at recruitment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9F39D37" w14:textId="2B3BAC89" w:rsidR="001D3C05" w:rsidRPr="00182589" w:rsidRDefault="001D3C05" w:rsidP="001D3C05">
            <w:pPr>
              <w:jc w:val="center"/>
              <w:rPr>
                <w:rFonts w:ascii="Arial" w:hAnsi="Arial" w:cs="Arial"/>
                <w:sz w:val="20"/>
                <w:szCs w:val="20"/>
              </w:rPr>
            </w:pPr>
            <w:r w:rsidRPr="00182589">
              <w:rPr>
                <w:rFonts w:ascii="Arial" w:hAnsi="Arial" w:cs="Arial"/>
                <w:sz w:val="20"/>
                <w:szCs w:val="20"/>
              </w:rPr>
              <w:t>95% (94-97)</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1E31727" w14:textId="39FFCF34" w:rsidR="001D3C05" w:rsidRPr="00182589" w:rsidRDefault="001D3C05" w:rsidP="001D3C05">
            <w:pPr>
              <w:jc w:val="center"/>
              <w:rPr>
                <w:rFonts w:ascii="Arial" w:hAnsi="Arial" w:cs="Arial"/>
                <w:sz w:val="20"/>
                <w:szCs w:val="20"/>
              </w:rPr>
            </w:pPr>
            <w:r w:rsidRPr="00182589">
              <w:rPr>
                <w:rFonts w:ascii="Arial" w:hAnsi="Arial" w:cs="Arial"/>
                <w:sz w:val="20"/>
                <w:szCs w:val="20"/>
              </w:rPr>
              <w:t>1% (0-2)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FFC1AA6" w14:textId="590BCE56"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r w:rsidR="00182589" w:rsidRPr="00182589" w14:paraId="60CC898D" w14:textId="77777777" w:rsidTr="00CE5A4E">
        <w:trPr>
          <w:trHeight w:val="301"/>
        </w:trPr>
        <w:tc>
          <w:tcPr>
            <w:tcW w:w="3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1CE2858C" w14:textId="77777777" w:rsidR="001D3C05" w:rsidRPr="00182589" w:rsidRDefault="001D3C05" w:rsidP="001D3C05">
            <w:pPr>
              <w:spacing w:after="0"/>
              <w:textAlignment w:val="bottom"/>
              <w:rPr>
                <w:rFonts w:ascii="Arial" w:eastAsia="Times New Roman" w:hAnsi="Arial" w:cs="Arial"/>
                <w:sz w:val="20"/>
                <w:szCs w:val="20"/>
                <w:lang w:eastAsia="en-GB"/>
              </w:rPr>
            </w:pPr>
            <w:r w:rsidRPr="00182589">
              <w:rPr>
                <w:rFonts w:ascii="Arial" w:eastAsia="Times New Roman" w:hAnsi="Arial" w:cs="Arial"/>
                <w:kern w:val="24"/>
                <w:sz w:val="20"/>
                <w:szCs w:val="20"/>
                <w:lang w:eastAsia="en-GB"/>
              </w:rPr>
              <w:t>Type 1 diabetes genetic risk score</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92A118B" w14:textId="1B5EE0F2" w:rsidR="001D3C05" w:rsidRPr="00182589" w:rsidRDefault="001D3C05" w:rsidP="001D3C05">
            <w:pPr>
              <w:jc w:val="center"/>
              <w:rPr>
                <w:rFonts w:ascii="Arial" w:hAnsi="Arial" w:cs="Arial"/>
                <w:sz w:val="20"/>
                <w:szCs w:val="20"/>
              </w:rPr>
            </w:pPr>
            <w:r w:rsidRPr="00182589">
              <w:rPr>
                <w:rFonts w:ascii="Arial" w:hAnsi="Arial" w:cs="Arial"/>
                <w:sz w:val="20"/>
                <w:szCs w:val="20"/>
              </w:rPr>
              <w:t>13.1 (12.9-13.2)</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DEFD87E" w14:textId="6CE5A109" w:rsidR="001D3C05" w:rsidRPr="00182589" w:rsidRDefault="001D3C05" w:rsidP="001D3C05">
            <w:pPr>
              <w:jc w:val="center"/>
              <w:rPr>
                <w:rFonts w:ascii="Arial" w:hAnsi="Arial" w:cs="Arial"/>
                <w:sz w:val="20"/>
                <w:szCs w:val="20"/>
              </w:rPr>
            </w:pPr>
            <w:r w:rsidRPr="00182589">
              <w:rPr>
                <w:rFonts w:ascii="Arial" w:hAnsi="Arial" w:cs="Arial"/>
                <w:sz w:val="20"/>
                <w:szCs w:val="20"/>
              </w:rPr>
              <w:t>10.1 (9.9-10.3)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55108D5" w14:textId="3685DF5C" w:rsidR="001D3C05" w:rsidRPr="00182589" w:rsidRDefault="001D3C05" w:rsidP="001D3C05">
            <w:pPr>
              <w:jc w:val="center"/>
              <w:rPr>
                <w:rFonts w:ascii="Arial" w:hAnsi="Arial" w:cs="Arial"/>
                <w:sz w:val="20"/>
                <w:szCs w:val="20"/>
              </w:rPr>
            </w:pPr>
            <w:r w:rsidRPr="00182589">
              <w:rPr>
                <w:rFonts w:ascii="Arial" w:hAnsi="Arial" w:cs="Arial"/>
                <w:sz w:val="20"/>
                <w:szCs w:val="20"/>
              </w:rPr>
              <w:t>&lt;0.0001</w:t>
            </w:r>
          </w:p>
        </w:tc>
      </w:tr>
    </w:tbl>
    <w:p w14:paraId="263F98CC" w14:textId="12FFE280" w:rsidR="008D445B" w:rsidRPr="00182589" w:rsidRDefault="008D445B" w:rsidP="00207A57">
      <w:pPr>
        <w:spacing w:line="360" w:lineRule="auto"/>
        <w:rPr>
          <w:rFonts w:eastAsia="Arial" w:cs="Arial"/>
        </w:rPr>
      </w:pPr>
      <w:r w:rsidRPr="00182589">
        <w:rPr>
          <w:rFonts w:eastAsia="Arial" w:cs="Arial"/>
        </w:rPr>
        <w:br w:type="page"/>
      </w:r>
    </w:p>
    <w:p w14:paraId="7DA10D81" w14:textId="0C016C99" w:rsidR="0093677D" w:rsidRPr="00182589" w:rsidRDefault="00FB7167" w:rsidP="00207A57">
      <w:pPr>
        <w:spacing w:line="360" w:lineRule="auto"/>
        <w:rPr>
          <w:rFonts w:eastAsia="Arial" w:cs="Arial"/>
          <w:sz w:val="24"/>
          <w:szCs w:val="24"/>
        </w:rPr>
      </w:pPr>
      <w:r w:rsidRPr="00182589">
        <w:rPr>
          <w:b/>
          <w:sz w:val="24"/>
          <w:szCs w:val="24"/>
        </w:rPr>
        <w:lastRenderedPageBreak/>
        <w:t xml:space="preserve">ESM table </w:t>
      </w:r>
      <w:r w:rsidR="003F176B" w:rsidRPr="00182589">
        <w:rPr>
          <w:b/>
          <w:sz w:val="24"/>
          <w:szCs w:val="24"/>
        </w:rPr>
        <w:t>3</w:t>
      </w:r>
      <w:r w:rsidRPr="00182589">
        <w:rPr>
          <w:sz w:val="24"/>
          <w:szCs w:val="24"/>
        </w:rPr>
        <w:t>: HLA and islet aut</w:t>
      </w:r>
      <w:r w:rsidR="009541C3" w:rsidRPr="00182589">
        <w:rPr>
          <w:sz w:val="24"/>
          <w:szCs w:val="24"/>
        </w:rPr>
        <w:t>oantibody distribution by age of diagnosis is those classified as having type 1 diabetes (</w:t>
      </w:r>
      <w:r w:rsidR="00567E05" w:rsidRPr="00182589">
        <w:rPr>
          <w:sz w:val="24"/>
          <w:szCs w:val="24"/>
        </w:rPr>
        <w:t>either m</w:t>
      </w:r>
      <w:r w:rsidRPr="00182589">
        <w:rPr>
          <w:sz w:val="24"/>
          <w:szCs w:val="24"/>
        </w:rPr>
        <w:t xml:space="preserve">ulti-autoantibody positive </w:t>
      </w:r>
      <w:r w:rsidR="00567E05" w:rsidRPr="00182589">
        <w:rPr>
          <w:sz w:val="24"/>
          <w:szCs w:val="24"/>
        </w:rPr>
        <w:t>or</w:t>
      </w:r>
      <w:r w:rsidRPr="00182589">
        <w:rPr>
          <w:sz w:val="24"/>
          <w:szCs w:val="24"/>
        </w:rPr>
        <w:t xml:space="preserve"> clinician diagnosed combined with a single positive islet autoantibody)</w:t>
      </w:r>
      <w:r w:rsidR="009541C3" w:rsidRPr="00182589">
        <w:rPr>
          <w:sz w:val="24"/>
          <w:szCs w:val="24"/>
        </w:rPr>
        <w:t xml:space="preserve">. </w:t>
      </w:r>
      <w:r w:rsidRPr="00182589">
        <w:rPr>
          <w:sz w:val="24"/>
          <w:szCs w:val="24"/>
        </w:rPr>
        <w:t xml:space="preserve">Results shown are percentage for binary outcomes (95% CI). </w:t>
      </w:r>
    </w:p>
    <w:tbl>
      <w:tblPr>
        <w:tblStyle w:val="TableGrid"/>
        <w:tblW w:w="8829" w:type="dxa"/>
        <w:tblLook w:val="04A0" w:firstRow="1" w:lastRow="0" w:firstColumn="1" w:lastColumn="0" w:noHBand="0" w:noVBand="1"/>
      </w:tblPr>
      <w:tblGrid>
        <w:gridCol w:w="3139"/>
        <w:gridCol w:w="1970"/>
        <w:gridCol w:w="1860"/>
        <w:gridCol w:w="1860"/>
      </w:tblGrid>
      <w:tr w:rsidR="00182589" w:rsidRPr="00182589" w14:paraId="5C2D6BAD" w14:textId="5A76B881" w:rsidTr="008E2D31">
        <w:trPr>
          <w:trHeight w:val="365"/>
        </w:trPr>
        <w:tc>
          <w:tcPr>
            <w:tcW w:w="3139" w:type="dxa"/>
            <w:tcBorders>
              <w:top w:val="nil"/>
              <w:left w:val="nil"/>
            </w:tcBorders>
            <w:noWrap/>
            <w:hideMark/>
          </w:tcPr>
          <w:p w14:paraId="768A23F6" w14:textId="432B7CFB" w:rsidR="008E2D31" w:rsidRPr="00182589" w:rsidRDefault="008E2D31" w:rsidP="002C1951">
            <w:pPr>
              <w:rPr>
                <w:rFonts w:ascii="Times New Roman" w:eastAsia="Times New Roman" w:hAnsi="Times New Roman" w:cs="Times New Roman"/>
                <w:b/>
                <w:sz w:val="24"/>
                <w:szCs w:val="24"/>
                <w:lang w:eastAsia="en-GB"/>
              </w:rPr>
            </w:pPr>
            <w:r w:rsidRPr="00182589">
              <w:rPr>
                <w:rFonts w:eastAsia="Arial" w:cs="Arial"/>
                <w:b/>
                <w:sz w:val="24"/>
                <w:szCs w:val="24"/>
              </w:rPr>
              <w:br w:type="page"/>
            </w:r>
          </w:p>
        </w:tc>
        <w:tc>
          <w:tcPr>
            <w:tcW w:w="1970" w:type="dxa"/>
            <w:noWrap/>
            <w:hideMark/>
          </w:tcPr>
          <w:p w14:paraId="0BA895D4" w14:textId="47FB518E" w:rsidR="008E2D31" w:rsidRPr="00182589" w:rsidRDefault="008E2D31" w:rsidP="004E5CB5">
            <w:pPr>
              <w:jc w:val="center"/>
              <w:rPr>
                <w:rFonts w:ascii="Calibri" w:eastAsia="Times New Roman" w:hAnsi="Calibri" w:cs="Calibri"/>
                <w:b/>
                <w:sz w:val="24"/>
                <w:szCs w:val="24"/>
                <w:lang w:eastAsia="en-GB"/>
              </w:rPr>
            </w:pPr>
            <w:r w:rsidRPr="00182589">
              <w:rPr>
                <w:rFonts w:ascii="Calibri" w:eastAsia="Times New Roman" w:hAnsi="Calibri" w:cs="Calibri"/>
                <w:b/>
                <w:sz w:val="24"/>
                <w:szCs w:val="24"/>
                <w:lang w:eastAsia="en-GB"/>
              </w:rPr>
              <w:t>≤35 Years</w:t>
            </w:r>
            <w:r w:rsidR="00566571" w:rsidRPr="00182589">
              <w:rPr>
                <w:rFonts w:ascii="Calibri" w:eastAsia="Times New Roman" w:hAnsi="Calibri" w:cs="Calibri"/>
                <w:b/>
                <w:sz w:val="24"/>
                <w:szCs w:val="24"/>
                <w:lang w:eastAsia="en-GB"/>
              </w:rPr>
              <w:t xml:space="preserve"> (n=</w:t>
            </w:r>
            <w:r w:rsidR="00D561F1" w:rsidRPr="00182589">
              <w:rPr>
                <w:rFonts w:ascii="Calibri" w:eastAsia="Times New Roman" w:hAnsi="Calibri" w:cs="Calibri"/>
                <w:b/>
                <w:sz w:val="24"/>
                <w:szCs w:val="24"/>
                <w:lang w:eastAsia="en-GB"/>
              </w:rPr>
              <w:t>2</w:t>
            </w:r>
            <w:r w:rsidR="00EE238D" w:rsidRPr="00182589">
              <w:rPr>
                <w:rFonts w:ascii="Calibri" w:eastAsia="Times New Roman" w:hAnsi="Calibri" w:cs="Calibri"/>
                <w:b/>
                <w:sz w:val="24"/>
                <w:szCs w:val="24"/>
                <w:lang w:eastAsia="en-GB"/>
              </w:rPr>
              <w:t>75</w:t>
            </w:r>
            <w:r w:rsidR="00D561F1" w:rsidRPr="00182589">
              <w:rPr>
                <w:rFonts w:ascii="Calibri" w:eastAsia="Times New Roman" w:hAnsi="Calibri" w:cs="Calibri"/>
                <w:b/>
                <w:sz w:val="24"/>
                <w:szCs w:val="24"/>
                <w:lang w:eastAsia="en-GB"/>
              </w:rPr>
              <w:t>)</w:t>
            </w:r>
          </w:p>
        </w:tc>
        <w:tc>
          <w:tcPr>
            <w:tcW w:w="1860" w:type="dxa"/>
            <w:noWrap/>
            <w:hideMark/>
          </w:tcPr>
          <w:p w14:paraId="4C154BA3" w14:textId="77777777" w:rsidR="008E2D31" w:rsidRPr="00182589" w:rsidRDefault="008E2D31" w:rsidP="004E5CB5">
            <w:pPr>
              <w:jc w:val="center"/>
              <w:rPr>
                <w:rFonts w:ascii="Calibri" w:eastAsia="Times New Roman" w:hAnsi="Calibri" w:cs="Calibri"/>
                <w:b/>
                <w:sz w:val="24"/>
                <w:szCs w:val="24"/>
                <w:lang w:eastAsia="en-GB"/>
              </w:rPr>
            </w:pPr>
            <w:r w:rsidRPr="00182589">
              <w:rPr>
                <w:rFonts w:ascii="Calibri" w:eastAsia="Times New Roman" w:hAnsi="Calibri" w:cs="Calibri"/>
                <w:b/>
                <w:sz w:val="24"/>
                <w:szCs w:val="24"/>
                <w:lang w:eastAsia="en-GB"/>
              </w:rPr>
              <w:t>&gt;35 Years</w:t>
            </w:r>
          </w:p>
          <w:p w14:paraId="5D88979E" w14:textId="050400CD" w:rsidR="00D561F1" w:rsidRPr="00182589" w:rsidRDefault="00FB7167" w:rsidP="004E5CB5">
            <w:pPr>
              <w:jc w:val="center"/>
              <w:rPr>
                <w:rFonts w:ascii="Calibri" w:eastAsia="Times New Roman" w:hAnsi="Calibri" w:cs="Calibri"/>
                <w:b/>
                <w:sz w:val="24"/>
                <w:szCs w:val="24"/>
                <w:lang w:eastAsia="en-GB"/>
              </w:rPr>
            </w:pPr>
            <w:r w:rsidRPr="00182589">
              <w:rPr>
                <w:rFonts w:ascii="Calibri" w:eastAsia="Times New Roman" w:hAnsi="Calibri" w:cs="Calibri"/>
                <w:b/>
                <w:sz w:val="24"/>
                <w:szCs w:val="24"/>
                <w:lang w:eastAsia="en-GB"/>
              </w:rPr>
              <w:t>(</w:t>
            </w:r>
            <w:r w:rsidR="00D561F1" w:rsidRPr="00182589">
              <w:rPr>
                <w:rFonts w:ascii="Calibri" w:eastAsia="Times New Roman" w:hAnsi="Calibri" w:cs="Calibri"/>
                <w:b/>
                <w:sz w:val="24"/>
                <w:szCs w:val="24"/>
                <w:lang w:eastAsia="en-GB"/>
              </w:rPr>
              <w:t>n=2</w:t>
            </w:r>
            <w:r w:rsidR="00EE238D" w:rsidRPr="00182589">
              <w:rPr>
                <w:rFonts w:ascii="Calibri" w:eastAsia="Times New Roman" w:hAnsi="Calibri" w:cs="Calibri"/>
                <w:b/>
                <w:sz w:val="24"/>
                <w:szCs w:val="24"/>
                <w:lang w:eastAsia="en-GB"/>
              </w:rPr>
              <w:t>90</w:t>
            </w:r>
            <w:r w:rsidRPr="00182589">
              <w:rPr>
                <w:rFonts w:ascii="Calibri" w:eastAsia="Times New Roman" w:hAnsi="Calibri" w:cs="Calibri"/>
                <w:b/>
                <w:sz w:val="24"/>
                <w:szCs w:val="24"/>
                <w:lang w:eastAsia="en-GB"/>
              </w:rPr>
              <w:t>)</w:t>
            </w:r>
          </w:p>
        </w:tc>
        <w:tc>
          <w:tcPr>
            <w:tcW w:w="1860" w:type="dxa"/>
          </w:tcPr>
          <w:p w14:paraId="17912474" w14:textId="03CA75AA" w:rsidR="008E2D31" w:rsidRPr="00182589" w:rsidRDefault="00CC38AE" w:rsidP="004E5CB5">
            <w:pPr>
              <w:jc w:val="center"/>
              <w:rPr>
                <w:rFonts w:ascii="Calibri" w:eastAsia="Times New Roman" w:hAnsi="Calibri" w:cs="Calibri"/>
                <w:b/>
                <w:sz w:val="24"/>
                <w:szCs w:val="24"/>
                <w:lang w:eastAsia="en-GB"/>
              </w:rPr>
            </w:pPr>
            <w:r w:rsidRPr="00182589">
              <w:rPr>
                <w:rFonts w:ascii="Calibri" w:eastAsia="Times New Roman" w:hAnsi="Calibri" w:cs="Calibri"/>
                <w:b/>
                <w:sz w:val="24"/>
                <w:szCs w:val="24"/>
                <w:lang w:eastAsia="en-GB"/>
              </w:rPr>
              <w:t>p</w:t>
            </w:r>
          </w:p>
        </w:tc>
      </w:tr>
      <w:tr w:rsidR="00182589" w:rsidRPr="00182589" w14:paraId="3AC07CCD" w14:textId="77777777" w:rsidTr="009541C3">
        <w:trPr>
          <w:trHeight w:val="365"/>
        </w:trPr>
        <w:tc>
          <w:tcPr>
            <w:tcW w:w="3139" w:type="dxa"/>
            <w:noWrap/>
          </w:tcPr>
          <w:p w14:paraId="3AE1D831" w14:textId="78000725" w:rsidR="00B44DB0" w:rsidRPr="00182589" w:rsidRDefault="00B44DB0" w:rsidP="00B44DB0">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≥1 copy of DR3-DQ2</w:t>
            </w:r>
          </w:p>
        </w:tc>
        <w:tc>
          <w:tcPr>
            <w:tcW w:w="1970" w:type="dxa"/>
            <w:noWrap/>
            <w:vAlign w:val="center"/>
          </w:tcPr>
          <w:p w14:paraId="052FA419" w14:textId="4A966C89" w:rsidR="00B44DB0" w:rsidRPr="00182589" w:rsidRDefault="00B44DB0" w:rsidP="009541C3">
            <w:pPr>
              <w:jc w:val="center"/>
              <w:rPr>
                <w:rFonts w:ascii="Calibri" w:eastAsia="Times New Roman" w:hAnsi="Calibri" w:cs="Calibri"/>
                <w:sz w:val="24"/>
                <w:szCs w:val="24"/>
                <w:lang w:eastAsia="en-GB"/>
              </w:rPr>
            </w:pPr>
            <w:r w:rsidRPr="00182589">
              <w:rPr>
                <w:rFonts w:ascii="Calibri" w:hAnsi="Calibri" w:cs="Calibri"/>
                <w:sz w:val="24"/>
                <w:szCs w:val="24"/>
              </w:rPr>
              <w:t>49% (40-57)</w:t>
            </w:r>
          </w:p>
        </w:tc>
        <w:tc>
          <w:tcPr>
            <w:tcW w:w="1860" w:type="dxa"/>
            <w:noWrap/>
            <w:vAlign w:val="center"/>
          </w:tcPr>
          <w:p w14:paraId="0FB713D3" w14:textId="07CE8DCD" w:rsidR="00B44DB0" w:rsidRPr="00182589" w:rsidRDefault="00B44DB0" w:rsidP="009541C3">
            <w:pPr>
              <w:jc w:val="center"/>
              <w:rPr>
                <w:rFonts w:ascii="Calibri" w:eastAsia="Times New Roman" w:hAnsi="Calibri" w:cs="Calibri"/>
                <w:sz w:val="24"/>
                <w:szCs w:val="24"/>
                <w:lang w:eastAsia="en-GB"/>
              </w:rPr>
            </w:pPr>
            <w:r w:rsidRPr="00182589">
              <w:rPr>
                <w:rFonts w:ascii="Calibri" w:hAnsi="Calibri" w:cs="Calibri"/>
                <w:sz w:val="24"/>
                <w:szCs w:val="24"/>
              </w:rPr>
              <w:t>49% (40-57)</w:t>
            </w:r>
          </w:p>
        </w:tc>
        <w:tc>
          <w:tcPr>
            <w:tcW w:w="1860" w:type="dxa"/>
            <w:vAlign w:val="center"/>
          </w:tcPr>
          <w:p w14:paraId="7D8036BA" w14:textId="1CA24207" w:rsidR="00B44DB0" w:rsidRPr="00182589" w:rsidRDefault="0093677D"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0.99</w:t>
            </w:r>
          </w:p>
        </w:tc>
      </w:tr>
      <w:tr w:rsidR="00182589" w:rsidRPr="00182589" w14:paraId="4DDFE605" w14:textId="77777777" w:rsidTr="009541C3">
        <w:trPr>
          <w:trHeight w:val="365"/>
        </w:trPr>
        <w:tc>
          <w:tcPr>
            <w:tcW w:w="3139" w:type="dxa"/>
            <w:noWrap/>
          </w:tcPr>
          <w:p w14:paraId="40921644" w14:textId="777B68D0" w:rsidR="009C709A" w:rsidRPr="00182589" w:rsidRDefault="009C709A" w:rsidP="009C709A">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≥1 copy of DR4-DQ8</w:t>
            </w:r>
          </w:p>
        </w:tc>
        <w:tc>
          <w:tcPr>
            <w:tcW w:w="1970" w:type="dxa"/>
            <w:tcBorders>
              <w:bottom w:val="single" w:sz="4" w:space="0" w:color="auto"/>
            </w:tcBorders>
            <w:noWrap/>
            <w:vAlign w:val="center"/>
          </w:tcPr>
          <w:p w14:paraId="3F6D0B64" w14:textId="7822F881" w:rsidR="009C709A" w:rsidRPr="00182589" w:rsidRDefault="009C709A" w:rsidP="009541C3">
            <w:pPr>
              <w:jc w:val="center"/>
              <w:rPr>
                <w:rFonts w:ascii="Calibri" w:eastAsia="Times New Roman" w:hAnsi="Calibri" w:cs="Calibri"/>
                <w:sz w:val="24"/>
                <w:szCs w:val="24"/>
                <w:lang w:eastAsia="en-GB"/>
              </w:rPr>
            </w:pPr>
            <w:r w:rsidRPr="00182589">
              <w:rPr>
                <w:rFonts w:ascii="Calibri" w:hAnsi="Calibri" w:cs="Calibri"/>
                <w:sz w:val="24"/>
                <w:szCs w:val="24"/>
              </w:rPr>
              <w:t>47% (38-55)</w:t>
            </w:r>
          </w:p>
        </w:tc>
        <w:tc>
          <w:tcPr>
            <w:tcW w:w="1860" w:type="dxa"/>
            <w:tcBorders>
              <w:bottom w:val="single" w:sz="4" w:space="0" w:color="auto"/>
            </w:tcBorders>
            <w:noWrap/>
            <w:vAlign w:val="center"/>
          </w:tcPr>
          <w:p w14:paraId="555AC941" w14:textId="70A46545" w:rsidR="009C709A" w:rsidRPr="00182589" w:rsidRDefault="009C709A" w:rsidP="009541C3">
            <w:pPr>
              <w:jc w:val="center"/>
              <w:rPr>
                <w:rFonts w:ascii="Calibri" w:eastAsia="Times New Roman" w:hAnsi="Calibri" w:cs="Calibri"/>
                <w:sz w:val="24"/>
                <w:szCs w:val="24"/>
                <w:lang w:eastAsia="en-GB"/>
              </w:rPr>
            </w:pPr>
            <w:r w:rsidRPr="00182589">
              <w:rPr>
                <w:rFonts w:ascii="Calibri" w:hAnsi="Calibri" w:cs="Calibri"/>
                <w:sz w:val="24"/>
                <w:szCs w:val="24"/>
              </w:rPr>
              <w:t>39% (30-48)</w:t>
            </w:r>
          </w:p>
        </w:tc>
        <w:tc>
          <w:tcPr>
            <w:tcW w:w="1860" w:type="dxa"/>
            <w:tcBorders>
              <w:bottom w:val="single" w:sz="4" w:space="0" w:color="auto"/>
            </w:tcBorders>
            <w:vAlign w:val="center"/>
          </w:tcPr>
          <w:p w14:paraId="16E798DC" w14:textId="5CB091F0" w:rsidR="009C709A" w:rsidRPr="00182589" w:rsidRDefault="0093677D"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0.08</w:t>
            </w:r>
          </w:p>
        </w:tc>
      </w:tr>
      <w:tr w:rsidR="00182589" w:rsidRPr="00182589" w14:paraId="3D7F9748" w14:textId="77777777" w:rsidTr="009541C3">
        <w:trPr>
          <w:trHeight w:val="365"/>
        </w:trPr>
        <w:tc>
          <w:tcPr>
            <w:tcW w:w="3139" w:type="dxa"/>
            <w:noWrap/>
          </w:tcPr>
          <w:p w14:paraId="65FC232F" w14:textId="2EC4F2AC" w:rsidR="00573BEF" w:rsidRPr="00182589" w:rsidRDefault="00573BEF" w:rsidP="002C1951">
            <w:pPr>
              <w:rPr>
                <w:rFonts w:ascii="Calibri" w:eastAsia="Times New Roman" w:hAnsi="Calibri" w:cs="Calibri"/>
                <w:b/>
                <w:sz w:val="24"/>
                <w:szCs w:val="24"/>
                <w:lang w:eastAsia="en-GB"/>
              </w:rPr>
            </w:pPr>
            <w:r w:rsidRPr="00182589">
              <w:rPr>
                <w:rFonts w:ascii="Calibri" w:eastAsia="Times New Roman" w:hAnsi="Calibri" w:cs="Calibri"/>
                <w:b/>
                <w:sz w:val="24"/>
                <w:szCs w:val="24"/>
                <w:lang w:eastAsia="en-GB"/>
              </w:rPr>
              <w:t>HLA Breakdown</w:t>
            </w:r>
          </w:p>
        </w:tc>
        <w:tc>
          <w:tcPr>
            <w:tcW w:w="5690" w:type="dxa"/>
            <w:gridSpan w:val="3"/>
            <w:tcBorders>
              <w:right w:val="nil"/>
            </w:tcBorders>
            <w:noWrap/>
            <w:vAlign w:val="center"/>
          </w:tcPr>
          <w:p w14:paraId="25AEC9C7" w14:textId="77777777" w:rsidR="00573BEF" w:rsidRPr="00182589" w:rsidRDefault="00573BEF" w:rsidP="009541C3">
            <w:pPr>
              <w:jc w:val="center"/>
              <w:rPr>
                <w:rFonts w:ascii="Calibri" w:eastAsia="Times New Roman" w:hAnsi="Calibri" w:cs="Calibri"/>
                <w:sz w:val="24"/>
                <w:szCs w:val="24"/>
                <w:lang w:eastAsia="en-GB"/>
              </w:rPr>
            </w:pPr>
          </w:p>
        </w:tc>
      </w:tr>
      <w:tr w:rsidR="00182589" w:rsidRPr="00182589" w14:paraId="6C55616E" w14:textId="2CF35D9E" w:rsidTr="009541C3">
        <w:trPr>
          <w:trHeight w:val="365"/>
        </w:trPr>
        <w:tc>
          <w:tcPr>
            <w:tcW w:w="3139" w:type="dxa"/>
            <w:noWrap/>
            <w:hideMark/>
          </w:tcPr>
          <w:p w14:paraId="5588BF89" w14:textId="77777777" w:rsidR="008E2D31" w:rsidRPr="00182589" w:rsidRDefault="008E2D31" w:rsidP="002C1951">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DR15-DQ6</w:t>
            </w:r>
          </w:p>
        </w:tc>
        <w:tc>
          <w:tcPr>
            <w:tcW w:w="1970" w:type="dxa"/>
            <w:noWrap/>
            <w:vAlign w:val="center"/>
            <w:hideMark/>
          </w:tcPr>
          <w:p w14:paraId="0BA64858"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2% (0-14)</w:t>
            </w:r>
          </w:p>
        </w:tc>
        <w:tc>
          <w:tcPr>
            <w:tcW w:w="1860" w:type="dxa"/>
            <w:noWrap/>
            <w:vAlign w:val="center"/>
            <w:hideMark/>
          </w:tcPr>
          <w:p w14:paraId="05320E25"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3% (0-14)</w:t>
            </w:r>
          </w:p>
        </w:tc>
        <w:tc>
          <w:tcPr>
            <w:tcW w:w="1860" w:type="dxa"/>
            <w:vAlign w:val="center"/>
          </w:tcPr>
          <w:p w14:paraId="0F5B3138" w14:textId="2B607952" w:rsidR="008E2D31" w:rsidRPr="00182589" w:rsidRDefault="0093677D"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0.8</w:t>
            </w:r>
          </w:p>
        </w:tc>
      </w:tr>
      <w:tr w:rsidR="00182589" w:rsidRPr="00182589" w14:paraId="73741C24" w14:textId="2282C0D9" w:rsidTr="009541C3">
        <w:trPr>
          <w:trHeight w:val="365"/>
        </w:trPr>
        <w:tc>
          <w:tcPr>
            <w:tcW w:w="3139" w:type="dxa"/>
            <w:noWrap/>
            <w:hideMark/>
          </w:tcPr>
          <w:p w14:paraId="22879773" w14:textId="77777777" w:rsidR="008E2D31" w:rsidRPr="00182589" w:rsidRDefault="008E2D31" w:rsidP="002C1951">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DR3-DQ2/DR4-DQ8</w:t>
            </w:r>
          </w:p>
        </w:tc>
        <w:tc>
          <w:tcPr>
            <w:tcW w:w="1970" w:type="dxa"/>
            <w:noWrap/>
            <w:vAlign w:val="center"/>
            <w:hideMark/>
          </w:tcPr>
          <w:p w14:paraId="46ABADEC"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18% (7-29)</w:t>
            </w:r>
          </w:p>
        </w:tc>
        <w:tc>
          <w:tcPr>
            <w:tcW w:w="1860" w:type="dxa"/>
            <w:noWrap/>
            <w:vAlign w:val="center"/>
            <w:hideMark/>
          </w:tcPr>
          <w:p w14:paraId="433C1811"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14% (2-25)</w:t>
            </w:r>
          </w:p>
        </w:tc>
        <w:tc>
          <w:tcPr>
            <w:tcW w:w="1860" w:type="dxa"/>
            <w:vAlign w:val="center"/>
          </w:tcPr>
          <w:p w14:paraId="0D2D10BD" w14:textId="62C5005A" w:rsidR="008E2D31" w:rsidRPr="00182589" w:rsidRDefault="0093677D"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0.2</w:t>
            </w:r>
          </w:p>
        </w:tc>
      </w:tr>
      <w:tr w:rsidR="00182589" w:rsidRPr="00182589" w14:paraId="61EE763F" w14:textId="4A56EF3F" w:rsidTr="009541C3">
        <w:trPr>
          <w:trHeight w:val="365"/>
        </w:trPr>
        <w:tc>
          <w:tcPr>
            <w:tcW w:w="3139" w:type="dxa"/>
            <w:noWrap/>
            <w:hideMark/>
          </w:tcPr>
          <w:p w14:paraId="4868745C" w14:textId="77777777" w:rsidR="008E2D31" w:rsidRPr="00182589" w:rsidRDefault="008E2D31" w:rsidP="002C1951">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DR4-DQ8/DR4-DQ8</w:t>
            </w:r>
          </w:p>
        </w:tc>
        <w:tc>
          <w:tcPr>
            <w:tcW w:w="1970" w:type="dxa"/>
            <w:noWrap/>
            <w:vAlign w:val="center"/>
            <w:hideMark/>
          </w:tcPr>
          <w:p w14:paraId="69BFFC7A"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6% (0-18)</w:t>
            </w:r>
          </w:p>
        </w:tc>
        <w:tc>
          <w:tcPr>
            <w:tcW w:w="1860" w:type="dxa"/>
            <w:noWrap/>
            <w:vAlign w:val="center"/>
            <w:hideMark/>
          </w:tcPr>
          <w:p w14:paraId="0545CDA2"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5% (0-17)</w:t>
            </w:r>
          </w:p>
        </w:tc>
        <w:tc>
          <w:tcPr>
            <w:tcW w:w="1860" w:type="dxa"/>
            <w:vAlign w:val="center"/>
          </w:tcPr>
          <w:p w14:paraId="0425127E" w14:textId="381C1EC9" w:rsidR="008E2D31" w:rsidRPr="00182589" w:rsidRDefault="0093677D"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0.8</w:t>
            </w:r>
          </w:p>
        </w:tc>
      </w:tr>
      <w:tr w:rsidR="00182589" w:rsidRPr="00182589" w14:paraId="627A9B1F" w14:textId="33B721D2" w:rsidTr="009541C3">
        <w:trPr>
          <w:trHeight w:val="365"/>
        </w:trPr>
        <w:tc>
          <w:tcPr>
            <w:tcW w:w="3139" w:type="dxa"/>
            <w:noWrap/>
            <w:hideMark/>
          </w:tcPr>
          <w:p w14:paraId="143B4A26" w14:textId="77777777" w:rsidR="008E2D31" w:rsidRPr="00182589" w:rsidRDefault="008E2D31" w:rsidP="002C1951">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DR3-DQ2/DR3-DQ2</w:t>
            </w:r>
          </w:p>
        </w:tc>
        <w:tc>
          <w:tcPr>
            <w:tcW w:w="1970" w:type="dxa"/>
            <w:noWrap/>
            <w:vAlign w:val="center"/>
            <w:hideMark/>
          </w:tcPr>
          <w:p w14:paraId="08CB5427"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9% (0-20)</w:t>
            </w:r>
          </w:p>
        </w:tc>
        <w:tc>
          <w:tcPr>
            <w:tcW w:w="1860" w:type="dxa"/>
            <w:noWrap/>
            <w:vAlign w:val="center"/>
            <w:hideMark/>
          </w:tcPr>
          <w:p w14:paraId="7B6811AA"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13% (2-24)</w:t>
            </w:r>
          </w:p>
        </w:tc>
        <w:tc>
          <w:tcPr>
            <w:tcW w:w="1860" w:type="dxa"/>
            <w:vAlign w:val="center"/>
          </w:tcPr>
          <w:p w14:paraId="13993834" w14:textId="20874C8E" w:rsidR="008E2D31" w:rsidRPr="00182589" w:rsidRDefault="0093677D"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0.09</w:t>
            </w:r>
          </w:p>
        </w:tc>
      </w:tr>
      <w:tr w:rsidR="00182589" w:rsidRPr="00182589" w14:paraId="643CBAE5" w14:textId="50F8B146" w:rsidTr="009541C3">
        <w:trPr>
          <w:trHeight w:val="365"/>
        </w:trPr>
        <w:tc>
          <w:tcPr>
            <w:tcW w:w="3139" w:type="dxa"/>
            <w:noWrap/>
            <w:hideMark/>
          </w:tcPr>
          <w:p w14:paraId="149DD18D" w14:textId="77777777" w:rsidR="008E2D31" w:rsidRPr="00182589" w:rsidRDefault="008E2D31" w:rsidP="002C1951">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DR4-DQ8/X</w:t>
            </w:r>
          </w:p>
        </w:tc>
        <w:tc>
          <w:tcPr>
            <w:tcW w:w="1970" w:type="dxa"/>
            <w:noWrap/>
            <w:vAlign w:val="center"/>
            <w:hideMark/>
          </w:tcPr>
          <w:p w14:paraId="1EF19843"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23% (12-33)</w:t>
            </w:r>
          </w:p>
        </w:tc>
        <w:tc>
          <w:tcPr>
            <w:tcW w:w="1860" w:type="dxa"/>
            <w:noWrap/>
            <w:vAlign w:val="center"/>
            <w:hideMark/>
          </w:tcPr>
          <w:p w14:paraId="356AFB70"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20% (9-31)</w:t>
            </w:r>
          </w:p>
        </w:tc>
        <w:tc>
          <w:tcPr>
            <w:tcW w:w="1860" w:type="dxa"/>
            <w:vAlign w:val="center"/>
          </w:tcPr>
          <w:p w14:paraId="6FB5A098" w14:textId="05F2B86E" w:rsidR="008E2D31" w:rsidRPr="00182589" w:rsidRDefault="0093677D"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0.4</w:t>
            </w:r>
          </w:p>
        </w:tc>
      </w:tr>
      <w:tr w:rsidR="00182589" w:rsidRPr="00182589" w14:paraId="1BA82551" w14:textId="6C55DEE1" w:rsidTr="009541C3">
        <w:trPr>
          <w:trHeight w:val="365"/>
        </w:trPr>
        <w:tc>
          <w:tcPr>
            <w:tcW w:w="3139" w:type="dxa"/>
            <w:noWrap/>
            <w:hideMark/>
          </w:tcPr>
          <w:p w14:paraId="08DAE0C6" w14:textId="77777777" w:rsidR="008E2D31" w:rsidRPr="00182589" w:rsidRDefault="008E2D31" w:rsidP="002C1951">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DR3-DQ2/X</w:t>
            </w:r>
          </w:p>
        </w:tc>
        <w:tc>
          <w:tcPr>
            <w:tcW w:w="1970" w:type="dxa"/>
            <w:noWrap/>
            <w:vAlign w:val="center"/>
            <w:hideMark/>
          </w:tcPr>
          <w:p w14:paraId="714D2E00"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22% (11-32)</w:t>
            </w:r>
          </w:p>
        </w:tc>
        <w:tc>
          <w:tcPr>
            <w:tcW w:w="1860" w:type="dxa"/>
            <w:noWrap/>
            <w:vAlign w:val="center"/>
            <w:hideMark/>
          </w:tcPr>
          <w:p w14:paraId="38EA9D7A"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21% (10-31)</w:t>
            </w:r>
          </w:p>
        </w:tc>
        <w:tc>
          <w:tcPr>
            <w:tcW w:w="1860" w:type="dxa"/>
            <w:vAlign w:val="center"/>
          </w:tcPr>
          <w:p w14:paraId="35545ED7" w14:textId="69386CD9" w:rsidR="008E2D31" w:rsidRPr="00182589" w:rsidRDefault="0093677D"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0.8</w:t>
            </w:r>
          </w:p>
        </w:tc>
      </w:tr>
      <w:tr w:rsidR="00182589" w:rsidRPr="00182589" w14:paraId="2773A343" w14:textId="19B485A3" w:rsidTr="009541C3">
        <w:trPr>
          <w:trHeight w:val="365"/>
        </w:trPr>
        <w:tc>
          <w:tcPr>
            <w:tcW w:w="3139" w:type="dxa"/>
            <w:noWrap/>
            <w:hideMark/>
          </w:tcPr>
          <w:p w14:paraId="1CAC5FA8" w14:textId="77777777" w:rsidR="008E2D31" w:rsidRPr="00182589" w:rsidRDefault="008E2D31" w:rsidP="002C1951">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X/X</w:t>
            </w:r>
          </w:p>
        </w:tc>
        <w:tc>
          <w:tcPr>
            <w:tcW w:w="1970" w:type="dxa"/>
            <w:tcBorders>
              <w:bottom w:val="single" w:sz="4" w:space="0" w:color="auto"/>
            </w:tcBorders>
            <w:noWrap/>
            <w:vAlign w:val="center"/>
            <w:hideMark/>
          </w:tcPr>
          <w:p w14:paraId="3FB8AB96"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21% (10-31)</w:t>
            </w:r>
          </w:p>
        </w:tc>
        <w:tc>
          <w:tcPr>
            <w:tcW w:w="1860" w:type="dxa"/>
            <w:tcBorders>
              <w:bottom w:val="single" w:sz="4" w:space="0" w:color="auto"/>
            </w:tcBorders>
            <w:noWrap/>
            <w:vAlign w:val="center"/>
            <w:hideMark/>
          </w:tcPr>
          <w:p w14:paraId="2A9B6B64" w14:textId="77777777" w:rsidR="008E2D31" w:rsidRPr="00182589" w:rsidRDefault="008E2D31"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24% (14-35)</w:t>
            </w:r>
          </w:p>
        </w:tc>
        <w:tc>
          <w:tcPr>
            <w:tcW w:w="1860" w:type="dxa"/>
            <w:tcBorders>
              <w:bottom w:val="single" w:sz="4" w:space="0" w:color="auto"/>
            </w:tcBorders>
            <w:vAlign w:val="center"/>
          </w:tcPr>
          <w:p w14:paraId="3D776BB2" w14:textId="1E2C6E30" w:rsidR="008E2D31" w:rsidRPr="00182589" w:rsidRDefault="0093677D"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0.3</w:t>
            </w:r>
          </w:p>
        </w:tc>
      </w:tr>
      <w:tr w:rsidR="00182589" w:rsidRPr="00182589" w14:paraId="6FE936A7" w14:textId="77777777" w:rsidTr="009541C3">
        <w:trPr>
          <w:trHeight w:val="365"/>
        </w:trPr>
        <w:tc>
          <w:tcPr>
            <w:tcW w:w="3139" w:type="dxa"/>
            <w:noWrap/>
          </w:tcPr>
          <w:p w14:paraId="0B049B93" w14:textId="7FF57C09" w:rsidR="00FB7167" w:rsidRPr="00182589" w:rsidRDefault="00FB7167" w:rsidP="002C1951">
            <w:pPr>
              <w:rPr>
                <w:rFonts w:ascii="Calibri" w:eastAsia="Times New Roman" w:hAnsi="Calibri" w:cs="Calibri"/>
                <w:b/>
                <w:sz w:val="24"/>
                <w:szCs w:val="24"/>
                <w:lang w:eastAsia="en-GB"/>
              </w:rPr>
            </w:pPr>
            <w:r w:rsidRPr="00182589">
              <w:rPr>
                <w:rFonts w:ascii="Calibri" w:eastAsia="Times New Roman" w:hAnsi="Calibri" w:cs="Calibri"/>
                <w:b/>
                <w:sz w:val="24"/>
                <w:szCs w:val="24"/>
                <w:lang w:eastAsia="en-GB"/>
              </w:rPr>
              <w:t>Islet Autoantibodies</w:t>
            </w:r>
          </w:p>
        </w:tc>
        <w:tc>
          <w:tcPr>
            <w:tcW w:w="5690" w:type="dxa"/>
            <w:gridSpan w:val="3"/>
            <w:tcBorders>
              <w:right w:val="nil"/>
            </w:tcBorders>
            <w:noWrap/>
            <w:vAlign w:val="center"/>
          </w:tcPr>
          <w:p w14:paraId="2DC81563" w14:textId="77777777" w:rsidR="00FB7167" w:rsidRPr="00182589" w:rsidRDefault="00FB7167" w:rsidP="009541C3">
            <w:pPr>
              <w:jc w:val="center"/>
              <w:rPr>
                <w:rFonts w:ascii="Calibri" w:eastAsia="Times New Roman" w:hAnsi="Calibri" w:cs="Calibri"/>
                <w:sz w:val="24"/>
                <w:szCs w:val="24"/>
                <w:lang w:eastAsia="en-GB"/>
              </w:rPr>
            </w:pPr>
          </w:p>
        </w:tc>
      </w:tr>
      <w:tr w:rsidR="00182589" w:rsidRPr="00182589" w14:paraId="34C90445" w14:textId="77777777" w:rsidTr="009541C3">
        <w:trPr>
          <w:trHeight w:val="365"/>
        </w:trPr>
        <w:tc>
          <w:tcPr>
            <w:tcW w:w="3139" w:type="dxa"/>
            <w:noWrap/>
          </w:tcPr>
          <w:p w14:paraId="599A2592" w14:textId="2B2796A4" w:rsidR="00FB7167" w:rsidRPr="00182589" w:rsidRDefault="00FB7167" w:rsidP="00FB7167">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GADA</w:t>
            </w:r>
          </w:p>
        </w:tc>
        <w:tc>
          <w:tcPr>
            <w:tcW w:w="1970" w:type="dxa"/>
            <w:noWrap/>
            <w:vAlign w:val="center"/>
          </w:tcPr>
          <w:p w14:paraId="09A02DD4" w14:textId="28CACC06" w:rsidR="00FB7167" w:rsidRPr="00182589" w:rsidRDefault="00FB7167" w:rsidP="009541C3">
            <w:pPr>
              <w:jc w:val="center"/>
              <w:rPr>
                <w:rFonts w:ascii="Calibri" w:eastAsia="Times New Roman" w:hAnsi="Calibri" w:cs="Calibri"/>
                <w:sz w:val="24"/>
                <w:szCs w:val="24"/>
                <w:lang w:eastAsia="en-GB"/>
              </w:rPr>
            </w:pPr>
            <w:r w:rsidRPr="00182589">
              <w:rPr>
                <w:rFonts w:ascii="Calibri" w:hAnsi="Calibri" w:cs="Calibri"/>
                <w:sz w:val="24"/>
                <w:szCs w:val="24"/>
              </w:rPr>
              <w:t>91% (88-95)</w:t>
            </w:r>
          </w:p>
        </w:tc>
        <w:tc>
          <w:tcPr>
            <w:tcW w:w="1860" w:type="dxa"/>
            <w:noWrap/>
            <w:vAlign w:val="center"/>
          </w:tcPr>
          <w:p w14:paraId="610AE50C" w14:textId="0701CFBC" w:rsidR="00FB7167" w:rsidRPr="00182589" w:rsidRDefault="00FB7167" w:rsidP="009541C3">
            <w:pPr>
              <w:jc w:val="center"/>
              <w:rPr>
                <w:rFonts w:ascii="Calibri" w:eastAsia="Times New Roman" w:hAnsi="Calibri" w:cs="Calibri"/>
                <w:sz w:val="24"/>
                <w:szCs w:val="24"/>
                <w:lang w:eastAsia="en-GB"/>
              </w:rPr>
            </w:pPr>
            <w:r w:rsidRPr="00182589">
              <w:rPr>
                <w:rFonts w:ascii="Calibri" w:hAnsi="Calibri" w:cs="Calibri"/>
                <w:sz w:val="24"/>
                <w:szCs w:val="24"/>
              </w:rPr>
              <w:t>90% (87-94)</w:t>
            </w:r>
          </w:p>
        </w:tc>
        <w:tc>
          <w:tcPr>
            <w:tcW w:w="1860" w:type="dxa"/>
            <w:vAlign w:val="center"/>
          </w:tcPr>
          <w:p w14:paraId="7A01DEB0" w14:textId="6B8B12B2" w:rsidR="00FB7167" w:rsidRPr="00182589" w:rsidRDefault="00FB7167"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0.6</w:t>
            </w:r>
          </w:p>
        </w:tc>
      </w:tr>
      <w:tr w:rsidR="00182589" w:rsidRPr="00182589" w14:paraId="62BA87F6" w14:textId="77777777" w:rsidTr="009541C3">
        <w:trPr>
          <w:trHeight w:val="365"/>
        </w:trPr>
        <w:tc>
          <w:tcPr>
            <w:tcW w:w="3139" w:type="dxa"/>
            <w:noWrap/>
          </w:tcPr>
          <w:p w14:paraId="27B63A69" w14:textId="515927BB" w:rsidR="00FB7167" w:rsidRPr="00182589" w:rsidRDefault="00FB7167" w:rsidP="00FB7167">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IA-2A</w:t>
            </w:r>
          </w:p>
        </w:tc>
        <w:tc>
          <w:tcPr>
            <w:tcW w:w="1970" w:type="dxa"/>
            <w:noWrap/>
            <w:vAlign w:val="center"/>
          </w:tcPr>
          <w:p w14:paraId="14EBA3B7" w14:textId="64560E84" w:rsidR="00FB7167" w:rsidRPr="00182589" w:rsidRDefault="00FB7167" w:rsidP="009541C3">
            <w:pPr>
              <w:jc w:val="center"/>
              <w:rPr>
                <w:rFonts w:ascii="Calibri" w:eastAsia="Times New Roman" w:hAnsi="Calibri" w:cs="Calibri"/>
                <w:sz w:val="24"/>
                <w:szCs w:val="24"/>
                <w:lang w:eastAsia="en-GB"/>
              </w:rPr>
            </w:pPr>
            <w:r w:rsidRPr="00182589">
              <w:rPr>
                <w:rFonts w:ascii="Calibri" w:hAnsi="Calibri" w:cs="Calibri"/>
                <w:sz w:val="24"/>
                <w:szCs w:val="24"/>
              </w:rPr>
              <w:t>54% (48-60)</w:t>
            </w:r>
          </w:p>
        </w:tc>
        <w:tc>
          <w:tcPr>
            <w:tcW w:w="1860" w:type="dxa"/>
            <w:noWrap/>
            <w:vAlign w:val="center"/>
          </w:tcPr>
          <w:p w14:paraId="2EF46797" w14:textId="5477D922" w:rsidR="00FB7167" w:rsidRPr="00182589" w:rsidRDefault="00FB7167" w:rsidP="009541C3">
            <w:pPr>
              <w:jc w:val="center"/>
              <w:rPr>
                <w:rFonts w:ascii="Calibri" w:eastAsia="Times New Roman" w:hAnsi="Calibri" w:cs="Calibri"/>
                <w:sz w:val="24"/>
                <w:szCs w:val="24"/>
                <w:lang w:eastAsia="en-GB"/>
              </w:rPr>
            </w:pPr>
            <w:r w:rsidRPr="00182589">
              <w:rPr>
                <w:rFonts w:ascii="Calibri" w:hAnsi="Calibri" w:cs="Calibri"/>
                <w:sz w:val="24"/>
                <w:szCs w:val="24"/>
              </w:rPr>
              <w:t>57% (51-63)</w:t>
            </w:r>
          </w:p>
        </w:tc>
        <w:tc>
          <w:tcPr>
            <w:tcW w:w="1860" w:type="dxa"/>
            <w:vAlign w:val="center"/>
          </w:tcPr>
          <w:p w14:paraId="7136E9F6" w14:textId="14D1DEDF" w:rsidR="00FB7167" w:rsidRPr="00182589" w:rsidRDefault="00FB7167"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0.5</w:t>
            </w:r>
          </w:p>
        </w:tc>
      </w:tr>
      <w:tr w:rsidR="003F176B" w:rsidRPr="00182589" w14:paraId="4C40C7F5" w14:textId="77777777" w:rsidTr="009541C3">
        <w:trPr>
          <w:trHeight w:val="365"/>
        </w:trPr>
        <w:tc>
          <w:tcPr>
            <w:tcW w:w="3139" w:type="dxa"/>
            <w:noWrap/>
          </w:tcPr>
          <w:p w14:paraId="7089B6CC" w14:textId="525FCB9B" w:rsidR="00FB7167" w:rsidRPr="00182589" w:rsidRDefault="00FB7167" w:rsidP="00FB7167">
            <w:pPr>
              <w:rPr>
                <w:rFonts w:ascii="Calibri" w:eastAsia="Times New Roman" w:hAnsi="Calibri" w:cs="Calibri"/>
                <w:bCs/>
                <w:sz w:val="24"/>
                <w:szCs w:val="24"/>
                <w:lang w:eastAsia="en-GB"/>
              </w:rPr>
            </w:pPr>
            <w:r w:rsidRPr="00182589">
              <w:rPr>
                <w:rFonts w:ascii="Calibri" w:eastAsia="Times New Roman" w:hAnsi="Calibri" w:cs="Calibri"/>
                <w:bCs/>
                <w:sz w:val="24"/>
                <w:szCs w:val="24"/>
                <w:lang w:eastAsia="en-GB"/>
              </w:rPr>
              <w:t>ZNT8</w:t>
            </w:r>
          </w:p>
        </w:tc>
        <w:tc>
          <w:tcPr>
            <w:tcW w:w="1970" w:type="dxa"/>
            <w:noWrap/>
            <w:vAlign w:val="center"/>
          </w:tcPr>
          <w:p w14:paraId="6E36B69A" w14:textId="4012D4CC" w:rsidR="00FB7167" w:rsidRPr="00182589" w:rsidRDefault="00FB7167" w:rsidP="009541C3">
            <w:pPr>
              <w:jc w:val="center"/>
              <w:rPr>
                <w:rFonts w:ascii="Calibri" w:eastAsia="Times New Roman" w:hAnsi="Calibri" w:cs="Calibri"/>
                <w:sz w:val="24"/>
                <w:szCs w:val="24"/>
                <w:lang w:eastAsia="en-GB"/>
              </w:rPr>
            </w:pPr>
            <w:r w:rsidRPr="00182589">
              <w:rPr>
                <w:rFonts w:ascii="Calibri" w:hAnsi="Calibri" w:cs="Calibri"/>
                <w:sz w:val="24"/>
                <w:szCs w:val="24"/>
              </w:rPr>
              <w:t>60% (54-65)</w:t>
            </w:r>
          </w:p>
        </w:tc>
        <w:tc>
          <w:tcPr>
            <w:tcW w:w="1860" w:type="dxa"/>
            <w:noWrap/>
            <w:vAlign w:val="center"/>
          </w:tcPr>
          <w:p w14:paraId="440833F2" w14:textId="2D7A67A2" w:rsidR="00FB7167" w:rsidRPr="00182589" w:rsidRDefault="00FB7167" w:rsidP="009541C3">
            <w:pPr>
              <w:jc w:val="center"/>
              <w:rPr>
                <w:rFonts w:ascii="Calibri" w:eastAsia="Times New Roman" w:hAnsi="Calibri" w:cs="Calibri"/>
                <w:sz w:val="24"/>
                <w:szCs w:val="24"/>
                <w:lang w:eastAsia="en-GB"/>
              </w:rPr>
            </w:pPr>
            <w:r w:rsidRPr="00182589">
              <w:rPr>
                <w:rFonts w:ascii="Calibri" w:hAnsi="Calibri" w:cs="Calibri"/>
                <w:sz w:val="24"/>
                <w:szCs w:val="24"/>
              </w:rPr>
              <w:t>60% (54-65)</w:t>
            </w:r>
          </w:p>
        </w:tc>
        <w:tc>
          <w:tcPr>
            <w:tcW w:w="1860" w:type="dxa"/>
            <w:vAlign w:val="center"/>
          </w:tcPr>
          <w:p w14:paraId="09BDAA74" w14:textId="4BE67D4E" w:rsidR="00FB7167" w:rsidRPr="00182589" w:rsidRDefault="00FB7167" w:rsidP="009541C3">
            <w:pPr>
              <w:jc w:val="center"/>
              <w:rPr>
                <w:rFonts w:ascii="Calibri" w:eastAsia="Times New Roman" w:hAnsi="Calibri" w:cs="Calibri"/>
                <w:sz w:val="24"/>
                <w:szCs w:val="24"/>
                <w:lang w:eastAsia="en-GB"/>
              </w:rPr>
            </w:pPr>
            <w:r w:rsidRPr="00182589">
              <w:rPr>
                <w:rFonts w:ascii="Calibri" w:eastAsia="Times New Roman" w:hAnsi="Calibri" w:cs="Calibri"/>
                <w:sz w:val="24"/>
                <w:szCs w:val="24"/>
                <w:lang w:eastAsia="en-GB"/>
              </w:rPr>
              <w:t>0.99</w:t>
            </w:r>
          </w:p>
        </w:tc>
      </w:tr>
    </w:tbl>
    <w:p w14:paraId="601BF766" w14:textId="298BF211" w:rsidR="002C1951" w:rsidRPr="00182589" w:rsidRDefault="002C1951" w:rsidP="00207A57">
      <w:pPr>
        <w:spacing w:line="360" w:lineRule="auto"/>
        <w:rPr>
          <w:rFonts w:eastAsia="Arial" w:cs="Arial"/>
          <w:b/>
        </w:rPr>
      </w:pPr>
    </w:p>
    <w:p w14:paraId="78D24CB7" w14:textId="36D600D1" w:rsidR="0093677D" w:rsidRPr="00182589" w:rsidRDefault="0093677D" w:rsidP="00207A57">
      <w:pPr>
        <w:spacing w:line="360" w:lineRule="auto"/>
        <w:rPr>
          <w:rFonts w:eastAsia="Arial" w:cs="Arial"/>
          <w:b/>
        </w:rPr>
      </w:pPr>
    </w:p>
    <w:p w14:paraId="6F3F0091" w14:textId="77777777" w:rsidR="004E5CB5" w:rsidRPr="00182589" w:rsidRDefault="004E5CB5" w:rsidP="00207A57">
      <w:pPr>
        <w:spacing w:line="360" w:lineRule="auto"/>
        <w:rPr>
          <w:rFonts w:eastAsia="Arial" w:cs="Arial"/>
          <w:b/>
        </w:rPr>
      </w:pPr>
    </w:p>
    <w:p w14:paraId="2B475132" w14:textId="77777777" w:rsidR="00FB7167" w:rsidRPr="00182589" w:rsidRDefault="00FB7167" w:rsidP="00207A57">
      <w:pPr>
        <w:spacing w:line="360" w:lineRule="auto"/>
        <w:rPr>
          <w:rFonts w:eastAsia="Arial" w:cs="Arial"/>
          <w:b/>
        </w:rPr>
      </w:pPr>
      <w:r w:rsidRPr="00182589">
        <w:rPr>
          <w:rFonts w:eastAsia="Arial" w:cs="Arial"/>
          <w:b/>
        </w:rPr>
        <w:br w:type="page"/>
      </w:r>
    </w:p>
    <w:p w14:paraId="2EDAD74C" w14:textId="46020685" w:rsidR="00B525BF" w:rsidRPr="00182589" w:rsidRDefault="00B525BF" w:rsidP="00B525BF">
      <w:pPr>
        <w:spacing w:line="360" w:lineRule="auto"/>
        <w:rPr>
          <w:rFonts w:eastAsia="Arial" w:cs="Arial"/>
          <w:sz w:val="24"/>
          <w:szCs w:val="24"/>
        </w:rPr>
      </w:pPr>
      <w:r w:rsidRPr="00182589">
        <w:rPr>
          <w:b/>
          <w:sz w:val="24"/>
          <w:szCs w:val="24"/>
        </w:rPr>
        <w:lastRenderedPageBreak/>
        <w:t>ESM table 4</w:t>
      </w:r>
      <w:r w:rsidRPr="00182589">
        <w:rPr>
          <w:sz w:val="24"/>
          <w:szCs w:val="24"/>
        </w:rPr>
        <w:t xml:space="preserve">: </w:t>
      </w:r>
      <w:r w:rsidR="005D7BEF" w:rsidRPr="00182589">
        <w:rPr>
          <w:rFonts w:cstheme="minorHAnsi"/>
        </w:rPr>
        <w:t>In adult-onset type 1 diabetes defined by multi-autoantibody positivity impact of BMI evaluated continuously using</w:t>
      </w:r>
      <w:r w:rsidR="00361D78" w:rsidRPr="00182589">
        <w:rPr>
          <w:rFonts w:cstheme="minorHAnsi"/>
        </w:rPr>
        <w:t>:</w:t>
      </w:r>
      <w:r w:rsidR="005D7BEF" w:rsidRPr="00182589">
        <w:rPr>
          <w:rFonts w:cstheme="minorHAnsi"/>
        </w:rPr>
        <w:t xml:space="preserve"> linear regression</w:t>
      </w:r>
      <w:r w:rsidR="00361D78" w:rsidRPr="00182589">
        <w:rPr>
          <w:rFonts w:cstheme="minorHAnsi"/>
        </w:rPr>
        <w:t xml:space="preserve"> for continuous variables, logistic regression for binary variables and </w:t>
      </w:r>
      <w:r w:rsidR="00A467EA" w:rsidRPr="00182589">
        <w:rPr>
          <w:rFonts w:cstheme="minorHAnsi"/>
        </w:rPr>
        <w:t>using mixed effect models</w:t>
      </w:r>
      <w:r w:rsidR="00361D78" w:rsidRPr="00182589">
        <w:rPr>
          <w:rFonts w:cstheme="minorHAnsi"/>
        </w:rPr>
        <w:t xml:space="preserve"> for annual change in Log C-peptide</w:t>
      </w:r>
      <w:r w:rsidR="005D7BEF" w:rsidRPr="00182589">
        <w:rPr>
          <w:rFonts w:cstheme="minorHAnsi"/>
        </w:rPr>
        <w:t>.</w:t>
      </w:r>
      <w:r w:rsidR="00A467EA" w:rsidRPr="00182589">
        <w:rPr>
          <w:sz w:val="24"/>
          <w:szCs w:val="24"/>
        </w:rPr>
        <w:t xml:space="preserve"> </w:t>
      </w:r>
      <w:r w:rsidRPr="00182589">
        <w:rPr>
          <w:sz w:val="24"/>
          <w:szCs w:val="24"/>
        </w:rPr>
        <w:t xml:space="preserve">(95% CI). </w:t>
      </w:r>
    </w:p>
    <w:p w14:paraId="43E13308" w14:textId="77777777" w:rsidR="00B525BF" w:rsidRPr="00182589" w:rsidRDefault="00B525BF" w:rsidP="00207A57">
      <w:pPr>
        <w:spacing w:line="360" w:lineRule="auto"/>
        <w:rPr>
          <w:rFonts w:eastAsia="Arial" w:cs="Arial"/>
          <w:b/>
        </w:rPr>
      </w:pPr>
    </w:p>
    <w:tbl>
      <w:tblPr>
        <w:tblW w:w="8926" w:type="dxa"/>
        <w:tblCellMar>
          <w:left w:w="0" w:type="dxa"/>
          <w:right w:w="0" w:type="dxa"/>
        </w:tblCellMar>
        <w:tblLook w:val="0420" w:firstRow="1" w:lastRow="0" w:firstColumn="0" w:lastColumn="0" w:noHBand="0" w:noVBand="1"/>
      </w:tblPr>
      <w:tblGrid>
        <w:gridCol w:w="5098"/>
        <w:gridCol w:w="2127"/>
        <w:gridCol w:w="1701"/>
      </w:tblGrid>
      <w:tr w:rsidR="00182589" w:rsidRPr="00182589" w14:paraId="3BF1B506" w14:textId="77777777" w:rsidTr="004E70FF">
        <w:trPr>
          <w:trHeight w:val="257"/>
        </w:trPr>
        <w:tc>
          <w:tcPr>
            <w:tcW w:w="509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A5D21FD" w14:textId="0BB1E959" w:rsidR="00B525BF" w:rsidRPr="00182589" w:rsidRDefault="00AC1190" w:rsidP="008A2CDE">
            <w:pPr>
              <w:spacing w:after="0" w:line="360" w:lineRule="auto"/>
              <w:rPr>
                <w:rFonts w:eastAsia="Arial" w:cs="Arial"/>
                <w:b/>
              </w:rPr>
            </w:pPr>
            <w:r w:rsidRPr="00182589">
              <w:rPr>
                <w:rFonts w:eastAsia="Arial" w:cs="Arial"/>
                <w:b/>
              </w:rPr>
              <w:t>Continuous</w:t>
            </w:r>
          </w:p>
        </w:tc>
        <w:tc>
          <w:tcPr>
            <w:tcW w:w="212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EDD19B" w14:textId="2B4BB2D8" w:rsidR="00B525BF" w:rsidRPr="00182589" w:rsidRDefault="00B525BF" w:rsidP="008A2CDE">
            <w:pPr>
              <w:spacing w:after="0" w:line="360" w:lineRule="auto"/>
              <w:jc w:val="center"/>
              <w:rPr>
                <w:rFonts w:eastAsia="Arial" w:cs="Arial"/>
                <w:b/>
              </w:rPr>
            </w:pPr>
            <w:r w:rsidRPr="00182589">
              <w:rPr>
                <w:rFonts w:eastAsia="Arial" w:cs="Arial"/>
                <w:b/>
                <w:bCs/>
                <w:lang w:val="en-US"/>
              </w:rPr>
              <w:t>β coefficient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8F1A52" w14:textId="77777777" w:rsidR="00B525BF" w:rsidRPr="00182589" w:rsidRDefault="00B525BF" w:rsidP="008A2CDE">
            <w:pPr>
              <w:spacing w:after="0" w:line="360" w:lineRule="auto"/>
              <w:jc w:val="center"/>
              <w:rPr>
                <w:rFonts w:eastAsia="Arial" w:cs="Arial"/>
                <w:b/>
              </w:rPr>
            </w:pPr>
            <w:r w:rsidRPr="00182589">
              <w:rPr>
                <w:rFonts w:eastAsia="Arial" w:cs="Arial"/>
                <w:b/>
                <w:bCs/>
              </w:rPr>
              <w:t>P value</w:t>
            </w:r>
          </w:p>
        </w:tc>
      </w:tr>
      <w:tr w:rsidR="00182589" w:rsidRPr="00182589" w14:paraId="403C5E27" w14:textId="77777777" w:rsidTr="004E70FF">
        <w:trPr>
          <w:trHeight w:val="257"/>
        </w:trPr>
        <w:tc>
          <w:tcPr>
            <w:tcW w:w="5098" w:type="dxa"/>
            <w:tcBorders>
              <w:top w:val="single" w:sz="4" w:space="0" w:color="auto"/>
              <w:left w:val="single" w:sz="8" w:space="0" w:color="000000"/>
              <w:bottom w:val="single" w:sz="8" w:space="0" w:color="000000"/>
              <w:right w:val="single" w:sz="8" w:space="0" w:color="000000"/>
            </w:tcBorders>
            <w:shd w:val="clear" w:color="auto" w:fill="auto"/>
            <w:tcMar>
              <w:top w:w="72" w:type="dxa"/>
              <w:left w:w="113" w:type="dxa"/>
              <w:bottom w:w="72" w:type="dxa"/>
              <w:right w:w="144" w:type="dxa"/>
            </w:tcMar>
            <w:hideMark/>
          </w:tcPr>
          <w:p w14:paraId="42BA7D1F" w14:textId="77777777" w:rsidR="00B525BF" w:rsidRPr="00182589" w:rsidRDefault="00B525BF" w:rsidP="008A2CDE">
            <w:pPr>
              <w:spacing w:after="0" w:line="360" w:lineRule="auto"/>
              <w:rPr>
                <w:rFonts w:eastAsia="Arial" w:cs="Arial"/>
                <w:b/>
              </w:rPr>
            </w:pPr>
            <w:r w:rsidRPr="00182589">
              <w:rPr>
                <w:rFonts w:eastAsia="Arial" w:cs="Arial"/>
                <w:b/>
                <w:bCs/>
              </w:rPr>
              <w:t>Age at diagnosis</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5EF538" w14:textId="77777777" w:rsidR="00B525BF" w:rsidRPr="00182589" w:rsidRDefault="00B525BF" w:rsidP="008A2CDE">
            <w:pPr>
              <w:spacing w:after="0" w:line="360" w:lineRule="auto"/>
              <w:jc w:val="center"/>
              <w:rPr>
                <w:rFonts w:eastAsia="Arial" w:cs="Arial"/>
                <w:bCs/>
              </w:rPr>
            </w:pPr>
            <w:r w:rsidRPr="00182589">
              <w:rPr>
                <w:rFonts w:eastAsia="Arial" w:cs="Arial"/>
                <w:bCs/>
              </w:rPr>
              <w:t>0.2 (-0.1, 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F2087C" w14:textId="77777777" w:rsidR="00B525BF" w:rsidRPr="00182589" w:rsidRDefault="00B525BF" w:rsidP="008A2CDE">
            <w:pPr>
              <w:spacing w:after="0" w:line="360" w:lineRule="auto"/>
              <w:jc w:val="center"/>
              <w:rPr>
                <w:rFonts w:eastAsia="Arial" w:cs="Arial"/>
                <w:bCs/>
              </w:rPr>
            </w:pPr>
            <w:r w:rsidRPr="00182589">
              <w:rPr>
                <w:rFonts w:eastAsia="Arial" w:cs="Arial"/>
                <w:bCs/>
              </w:rPr>
              <w:t>0.3</w:t>
            </w:r>
          </w:p>
        </w:tc>
      </w:tr>
      <w:tr w:rsidR="00182589" w:rsidRPr="00182589" w14:paraId="6AB55ECE" w14:textId="77777777" w:rsidTr="004E70FF">
        <w:trPr>
          <w:trHeight w:val="257"/>
        </w:trPr>
        <w:tc>
          <w:tcPr>
            <w:tcW w:w="5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13" w:type="dxa"/>
              <w:bottom w:w="72" w:type="dxa"/>
              <w:right w:w="144" w:type="dxa"/>
            </w:tcMar>
            <w:hideMark/>
          </w:tcPr>
          <w:p w14:paraId="0DA44FB3" w14:textId="77777777" w:rsidR="00B525BF" w:rsidRPr="00182589" w:rsidRDefault="00B525BF" w:rsidP="008A2CDE">
            <w:pPr>
              <w:spacing w:after="0" w:line="360" w:lineRule="auto"/>
              <w:rPr>
                <w:rFonts w:eastAsia="Arial" w:cs="Arial"/>
                <w:b/>
              </w:rPr>
            </w:pPr>
            <w:r w:rsidRPr="00182589">
              <w:rPr>
                <w:rFonts w:eastAsia="Arial" w:cs="Arial"/>
                <w:b/>
                <w:bCs/>
              </w:rPr>
              <w:t>HbA1c at diagnosis mmol/mol</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9230E2" w14:textId="77777777" w:rsidR="00B525BF" w:rsidRPr="00182589" w:rsidRDefault="00B525BF" w:rsidP="008A2CDE">
            <w:pPr>
              <w:spacing w:after="0" w:line="360" w:lineRule="auto"/>
              <w:jc w:val="center"/>
              <w:rPr>
                <w:rFonts w:eastAsia="Arial" w:cs="Arial"/>
                <w:bCs/>
              </w:rPr>
            </w:pPr>
            <w:r w:rsidRPr="00182589">
              <w:rPr>
                <w:rFonts w:eastAsia="Arial" w:cs="Arial"/>
                <w:bCs/>
              </w:rPr>
              <w:t>-0.3 (-0.9, 0.3)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6A4A68" w14:textId="77777777" w:rsidR="00B525BF" w:rsidRPr="00182589" w:rsidRDefault="00B525BF" w:rsidP="008A2CDE">
            <w:pPr>
              <w:spacing w:after="0" w:line="360" w:lineRule="auto"/>
              <w:jc w:val="center"/>
              <w:rPr>
                <w:rFonts w:eastAsia="Arial" w:cs="Arial"/>
                <w:bCs/>
              </w:rPr>
            </w:pPr>
            <w:r w:rsidRPr="00182589">
              <w:rPr>
                <w:rFonts w:eastAsia="Arial" w:cs="Arial"/>
                <w:bCs/>
              </w:rPr>
              <w:t>0.3</w:t>
            </w:r>
          </w:p>
        </w:tc>
      </w:tr>
      <w:tr w:rsidR="00182589" w:rsidRPr="00182589" w14:paraId="2C26FB74" w14:textId="77777777" w:rsidTr="004E70FF">
        <w:trPr>
          <w:trHeight w:val="257"/>
        </w:trPr>
        <w:tc>
          <w:tcPr>
            <w:tcW w:w="5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13" w:type="dxa"/>
              <w:bottom w:w="72" w:type="dxa"/>
              <w:right w:w="144" w:type="dxa"/>
            </w:tcMar>
            <w:hideMark/>
          </w:tcPr>
          <w:p w14:paraId="4B02FBAC" w14:textId="77777777" w:rsidR="00B525BF" w:rsidRPr="00182589" w:rsidRDefault="00B525BF" w:rsidP="008A2CDE">
            <w:pPr>
              <w:spacing w:after="0" w:line="360" w:lineRule="auto"/>
              <w:rPr>
                <w:rFonts w:eastAsia="Arial" w:cs="Arial"/>
                <w:b/>
              </w:rPr>
            </w:pPr>
            <w:r w:rsidRPr="00182589">
              <w:rPr>
                <w:rFonts w:eastAsia="Arial" w:cs="Arial"/>
                <w:b/>
                <w:bCs/>
              </w:rPr>
              <w:t>Glucose at diagnosis mmol/l</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7DD278" w14:textId="77777777" w:rsidR="00B525BF" w:rsidRPr="00182589" w:rsidRDefault="00B525BF" w:rsidP="008A2CDE">
            <w:pPr>
              <w:spacing w:after="0" w:line="360" w:lineRule="auto"/>
              <w:jc w:val="center"/>
              <w:rPr>
                <w:rFonts w:eastAsia="Arial" w:cs="Arial"/>
                <w:bCs/>
              </w:rPr>
            </w:pPr>
            <w:r w:rsidRPr="00182589">
              <w:rPr>
                <w:rFonts w:eastAsia="Arial" w:cs="Arial"/>
                <w:bCs/>
              </w:rPr>
              <w:t>0.0 (-0.2, 0.3)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002F65" w14:textId="77777777" w:rsidR="00B525BF" w:rsidRPr="00182589" w:rsidRDefault="00B525BF" w:rsidP="008A2CDE">
            <w:pPr>
              <w:spacing w:after="0" w:line="360" w:lineRule="auto"/>
              <w:jc w:val="center"/>
              <w:rPr>
                <w:rFonts w:eastAsia="Arial" w:cs="Arial"/>
                <w:bCs/>
              </w:rPr>
            </w:pPr>
            <w:r w:rsidRPr="00182589">
              <w:rPr>
                <w:rFonts w:eastAsia="Arial" w:cs="Arial"/>
                <w:bCs/>
              </w:rPr>
              <w:t>0.8</w:t>
            </w:r>
          </w:p>
        </w:tc>
      </w:tr>
      <w:tr w:rsidR="00182589" w:rsidRPr="00182589" w14:paraId="68191DB5" w14:textId="77777777" w:rsidTr="004E70FF">
        <w:trPr>
          <w:trHeight w:val="257"/>
        </w:trPr>
        <w:tc>
          <w:tcPr>
            <w:tcW w:w="5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6E8948BC" w14:textId="7429185B" w:rsidR="00B525BF" w:rsidRPr="00182589" w:rsidRDefault="007F2B3E" w:rsidP="008A2CDE">
            <w:pPr>
              <w:spacing w:after="0" w:line="360" w:lineRule="auto"/>
              <w:rPr>
                <w:rFonts w:eastAsia="Arial" w:cs="Arial"/>
                <w:b/>
              </w:rPr>
            </w:pPr>
            <w:r w:rsidRPr="00182589">
              <w:rPr>
                <w:rFonts w:eastAsia="Arial" w:cs="Arial"/>
                <w:b/>
                <w:bCs/>
              </w:rPr>
              <w:t>Baseline g</w:t>
            </w:r>
            <w:r w:rsidR="00B525BF" w:rsidRPr="00182589">
              <w:rPr>
                <w:rFonts w:eastAsia="Arial" w:cs="Arial"/>
                <w:b/>
                <w:bCs/>
              </w:rPr>
              <w:t xml:space="preserve">eometric C-peptide </w:t>
            </w:r>
            <w:proofErr w:type="spellStart"/>
            <w:r w:rsidR="00B525BF" w:rsidRPr="00182589">
              <w:rPr>
                <w:rFonts w:eastAsia="Arial" w:cs="Arial"/>
                <w:b/>
                <w:bCs/>
              </w:rPr>
              <w:t>pmol</w:t>
            </w:r>
            <w:proofErr w:type="spellEnd"/>
            <w:r w:rsidR="00B525BF" w:rsidRPr="00182589">
              <w:rPr>
                <w:rFonts w:eastAsia="Arial" w:cs="Arial"/>
                <w:b/>
                <w:bCs/>
              </w:rPr>
              <w:t>/l</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B84BF6" w14:textId="77777777" w:rsidR="00B525BF" w:rsidRPr="00182589" w:rsidRDefault="00B525BF" w:rsidP="008A2CDE">
            <w:pPr>
              <w:spacing w:after="0" w:line="360" w:lineRule="auto"/>
              <w:jc w:val="center"/>
              <w:rPr>
                <w:rFonts w:eastAsia="Arial" w:cs="Arial"/>
                <w:bCs/>
              </w:rPr>
            </w:pPr>
            <w:r w:rsidRPr="00182589">
              <w:rPr>
                <w:rFonts w:eastAsia="Arial" w:cs="Arial"/>
                <w:bCs/>
              </w:rPr>
              <w:t>33 (21, 46)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46D2FD" w14:textId="77777777" w:rsidR="00B525BF" w:rsidRPr="00182589" w:rsidRDefault="00B525BF" w:rsidP="008A2CDE">
            <w:pPr>
              <w:spacing w:after="0" w:line="360" w:lineRule="auto"/>
              <w:jc w:val="center"/>
              <w:rPr>
                <w:rFonts w:eastAsia="Arial" w:cs="Arial"/>
                <w:bCs/>
              </w:rPr>
            </w:pPr>
            <w:r w:rsidRPr="00182589">
              <w:rPr>
                <w:rFonts w:eastAsia="Arial" w:cs="Arial"/>
                <w:bCs/>
              </w:rPr>
              <w:t>&lt;0.0001</w:t>
            </w:r>
          </w:p>
        </w:tc>
      </w:tr>
      <w:tr w:rsidR="00182589" w:rsidRPr="00182589" w14:paraId="4D23FA0B" w14:textId="77777777" w:rsidTr="004E70FF">
        <w:trPr>
          <w:trHeight w:val="257"/>
        </w:trPr>
        <w:tc>
          <w:tcPr>
            <w:tcW w:w="5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269594E1" w14:textId="7E4DB0CD" w:rsidR="00B525BF" w:rsidRPr="00182589" w:rsidRDefault="00707DD5" w:rsidP="008A2CDE">
            <w:pPr>
              <w:spacing w:after="0" w:line="360" w:lineRule="auto"/>
              <w:rPr>
                <w:rFonts w:eastAsia="Arial" w:cs="Arial"/>
                <w:b/>
              </w:rPr>
            </w:pPr>
            <w:r w:rsidRPr="00182589">
              <w:rPr>
                <w:rFonts w:eastAsia="Arial" w:cs="Arial"/>
                <w:b/>
                <w:bCs/>
                <w:lang w:val="en-US"/>
              </w:rPr>
              <w:t>Annual r</w:t>
            </w:r>
            <w:r w:rsidR="007F2B3E" w:rsidRPr="00182589">
              <w:rPr>
                <w:rFonts w:eastAsia="Arial" w:cs="Arial"/>
                <w:b/>
                <w:bCs/>
                <w:lang w:val="en-US"/>
              </w:rPr>
              <w:t>ate of decline of</w:t>
            </w:r>
            <w:r w:rsidR="00B525BF" w:rsidRPr="00182589">
              <w:rPr>
                <w:rFonts w:eastAsia="Arial" w:cs="Arial"/>
                <w:b/>
                <w:bCs/>
                <w:lang w:val="en-US"/>
              </w:rPr>
              <w:t xml:space="preserve"> log </w:t>
            </w:r>
            <w:r w:rsidR="00D418CB" w:rsidRPr="00182589">
              <w:rPr>
                <w:rFonts w:eastAsia="Arial" w:cs="Arial"/>
                <w:b/>
                <w:bCs/>
                <w:lang w:val="en-US"/>
              </w:rPr>
              <w:t>UCPCR (</w:t>
            </w:r>
            <w:r w:rsidR="004E70FF" w:rsidRPr="00182589">
              <w:rPr>
                <w:rFonts w:eastAsia="Arial" w:cs="Arial"/>
                <w:b/>
                <w:bCs/>
              </w:rPr>
              <w:t>nmol/mmol)</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7D3356" w14:textId="77777777" w:rsidR="00B525BF" w:rsidRPr="00182589" w:rsidRDefault="00B525BF" w:rsidP="008A2CDE">
            <w:pPr>
              <w:spacing w:after="0" w:line="360" w:lineRule="auto"/>
              <w:jc w:val="center"/>
              <w:rPr>
                <w:rFonts w:eastAsia="Arial" w:cs="Arial"/>
                <w:bCs/>
              </w:rPr>
            </w:pPr>
            <w:r w:rsidRPr="00182589">
              <w:rPr>
                <w:rFonts w:eastAsia="Arial" w:cs="Arial"/>
                <w:bCs/>
              </w:rPr>
              <w:t>0.00 (-0.01, 0.01)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273B8B" w14:textId="77777777" w:rsidR="00B525BF" w:rsidRPr="00182589" w:rsidRDefault="00B525BF" w:rsidP="008A2CDE">
            <w:pPr>
              <w:spacing w:after="0" w:line="360" w:lineRule="auto"/>
              <w:jc w:val="center"/>
              <w:rPr>
                <w:rFonts w:eastAsia="Arial" w:cs="Arial"/>
                <w:bCs/>
              </w:rPr>
            </w:pPr>
            <w:r w:rsidRPr="00182589">
              <w:rPr>
                <w:rFonts w:eastAsia="Arial" w:cs="Arial"/>
                <w:bCs/>
              </w:rPr>
              <w:t>0.8</w:t>
            </w:r>
          </w:p>
        </w:tc>
      </w:tr>
      <w:tr w:rsidR="00182589" w:rsidRPr="00182589" w14:paraId="56775CDA" w14:textId="77777777" w:rsidTr="004E70FF">
        <w:trPr>
          <w:trHeight w:val="18"/>
        </w:trPr>
        <w:tc>
          <w:tcPr>
            <w:tcW w:w="5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hideMark/>
          </w:tcPr>
          <w:p w14:paraId="783C5AD3" w14:textId="77777777" w:rsidR="00B525BF" w:rsidRPr="00182589" w:rsidRDefault="00B525BF" w:rsidP="008A2CDE">
            <w:pPr>
              <w:spacing w:after="0" w:line="360" w:lineRule="auto"/>
              <w:rPr>
                <w:rFonts w:eastAsia="Arial" w:cs="Arial"/>
                <w:b/>
              </w:rPr>
            </w:pPr>
            <w:r w:rsidRPr="00182589">
              <w:rPr>
                <w:rFonts w:eastAsia="Arial" w:cs="Arial"/>
                <w:b/>
                <w:bCs/>
              </w:rPr>
              <w:t>T1DGRS</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7540E5" w14:textId="77777777" w:rsidR="00B525BF" w:rsidRPr="00182589" w:rsidRDefault="00B525BF" w:rsidP="008A2CDE">
            <w:pPr>
              <w:spacing w:after="0" w:line="360" w:lineRule="auto"/>
              <w:jc w:val="center"/>
              <w:rPr>
                <w:rFonts w:eastAsia="Arial" w:cs="Arial"/>
                <w:bCs/>
              </w:rPr>
            </w:pPr>
            <w:r w:rsidRPr="00182589">
              <w:rPr>
                <w:rFonts w:eastAsia="Arial" w:cs="Arial"/>
                <w:bCs/>
              </w:rPr>
              <w:t>-0.01 (-0.05, 0.04)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476EEE" w14:textId="77777777" w:rsidR="00B525BF" w:rsidRPr="00182589" w:rsidRDefault="00B525BF" w:rsidP="008A2CDE">
            <w:pPr>
              <w:spacing w:after="0" w:line="360" w:lineRule="auto"/>
              <w:jc w:val="center"/>
              <w:rPr>
                <w:rFonts w:eastAsia="Arial" w:cs="Arial"/>
                <w:bCs/>
              </w:rPr>
            </w:pPr>
            <w:r w:rsidRPr="00182589">
              <w:rPr>
                <w:rFonts w:eastAsia="Arial" w:cs="Arial"/>
                <w:bCs/>
              </w:rPr>
              <w:t>0.8</w:t>
            </w:r>
          </w:p>
        </w:tc>
      </w:tr>
      <w:tr w:rsidR="00182589" w:rsidRPr="00182589" w14:paraId="7BDFADBB" w14:textId="77777777" w:rsidTr="004E70FF">
        <w:trPr>
          <w:trHeight w:val="18"/>
        </w:trPr>
        <w:tc>
          <w:tcPr>
            <w:tcW w:w="5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tcPr>
          <w:p w14:paraId="1F37AA04" w14:textId="7BFC2B69" w:rsidR="00AC1190" w:rsidRPr="00182589" w:rsidRDefault="00AC1190" w:rsidP="008A2CDE">
            <w:pPr>
              <w:spacing w:after="0" w:line="360" w:lineRule="auto"/>
              <w:rPr>
                <w:rFonts w:eastAsia="Arial" w:cs="Arial"/>
                <w:b/>
                <w:bCs/>
              </w:rPr>
            </w:pPr>
            <w:r w:rsidRPr="00182589">
              <w:rPr>
                <w:rFonts w:eastAsia="Arial" w:cs="Arial"/>
                <w:b/>
                <w:bCs/>
              </w:rPr>
              <w:t>Binary</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821CA4" w14:textId="5C940407" w:rsidR="00AC1190" w:rsidRPr="00182589" w:rsidRDefault="00AC1190" w:rsidP="008A2CDE">
            <w:pPr>
              <w:spacing w:after="0" w:line="360" w:lineRule="auto"/>
              <w:jc w:val="center"/>
              <w:rPr>
                <w:rFonts w:eastAsia="Arial" w:cs="Arial"/>
                <w:b/>
                <w:bCs/>
              </w:rPr>
            </w:pPr>
            <w:r w:rsidRPr="00182589">
              <w:rPr>
                <w:rFonts w:eastAsia="Arial" w:cs="Arial"/>
                <w:b/>
                <w:bCs/>
              </w:rPr>
              <w:t>Odds ratio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B919A77" w14:textId="3517AA9F" w:rsidR="00AC1190" w:rsidRPr="00182589" w:rsidRDefault="00AC1190" w:rsidP="008A2CDE">
            <w:pPr>
              <w:spacing w:after="0" w:line="360" w:lineRule="auto"/>
              <w:jc w:val="center"/>
              <w:rPr>
                <w:rFonts w:eastAsia="Arial" w:cs="Arial"/>
                <w:b/>
                <w:bCs/>
              </w:rPr>
            </w:pPr>
            <w:r w:rsidRPr="00182589">
              <w:rPr>
                <w:rFonts w:eastAsia="Arial" w:cs="Arial"/>
                <w:b/>
                <w:bCs/>
              </w:rPr>
              <w:t>P value</w:t>
            </w:r>
          </w:p>
        </w:tc>
      </w:tr>
      <w:tr w:rsidR="00182589" w:rsidRPr="00182589" w14:paraId="46BC5CCB" w14:textId="77777777" w:rsidTr="004E70FF">
        <w:trPr>
          <w:trHeight w:val="18"/>
        </w:trPr>
        <w:tc>
          <w:tcPr>
            <w:tcW w:w="5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tcPr>
          <w:p w14:paraId="6569A3A4" w14:textId="5CC2F90F" w:rsidR="00AC1190" w:rsidRPr="00182589" w:rsidRDefault="00AC1190" w:rsidP="00AC1190">
            <w:pPr>
              <w:spacing w:after="0" w:line="360" w:lineRule="auto"/>
              <w:rPr>
                <w:rFonts w:eastAsia="Arial" w:cs="Arial"/>
                <w:b/>
                <w:bCs/>
              </w:rPr>
            </w:pPr>
            <w:r w:rsidRPr="00182589">
              <w:rPr>
                <w:rFonts w:eastAsia="Arial" w:cs="Arial"/>
                <w:b/>
                <w:bCs/>
              </w:rPr>
              <w:t xml:space="preserve">Unintentional weight loss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0B7C610" w14:textId="628E63BA" w:rsidR="00AC1190" w:rsidRPr="00182589" w:rsidRDefault="00B0363C" w:rsidP="00AC1190">
            <w:pPr>
              <w:spacing w:after="0" w:line="360" w:lineRule="auto"/>
              <w:jc w:val="center"/>
              <w:rPr>
                <w:rFonts w:eastAsia="Arial" w:cs="Arial"/>
                <w:bCs/>
              </w:rPr>
            </w:pPr>
            <w:r w:rsidRPr="00182589">
              <w:rPr>
                <w:rFonts w:eastAsia="Arial" w:cs="Arial"/>
                <w:bCs/>
              </w:rPr>
              <w:t>0.94 (0.</w:t>
            </w:r>
            <w:r w:rsidR="001D69C2" w:rsidRPr="00182589">
              <w:rPr>
                <w:rFonts w:eastAsia="Arial" w:cs="Arial"/>
                <w:bCs/>
              </w:rPr>
              <w:t>89-0.99)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536147A" w14:textId="6E1892E7" w:rsidR="00AC1190" w:rsidRPr="00182589" w:rsidRDefault="005A74ED" w:rsidP="00AC1190">
            <w:pPr>
              <w:spacing w:after="0" w:line="360" w:lineRule="auto"/>
              <w:jc w:val="center"/>
              <w:rPr>
                <w:rFonts w:eastAsia="Arial" w:cs="Arial"/>
                <w:bCs/>
              </w:rPr>
            </w:pPr>
            <w:r w:rsidRPr="00182589">
              <w:rPr>
                <w:rFonts w:eastAsia="Arial" w:cs="Arial"/>
                <w:bCs/>
              </w:rPr>
              <w:t>0.02</w:t>
            </w:r>
          </w:p>
        </w:tc>
      </w:tr>
      <w:tr w:rsidR="00182589" w:rsidRPr="00182589" w14:paraId="26509A2A" w14:textId="77777777" w:rsidTr="004E70FF">
        <w:trPr>
          <w:trHeight w:val="18"/>
        </w:trPr>
        <w:tc>
          <w:tcPr>
            <w:tcW w:w="5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tcPr>
          <w:p w14:paraId="22550C0C" w14:textId="38127985" w:rsidR="00AC1190" w:rsidRPr="00182589" w:rsidRDefault="00AC1190" w:rsidP="00AC1190">
            <w:pPr>
              <w:spacing w:after="0" w:line="360" w:lineRule="auto"/>
              <w:rPr>
                <w:rFonts w:eastAsia="Arial" w:cs="Arial"/>
                <w:b/>
                <w:bCs/>
              </w:rPr>
            </w:pPr>
            <w:r w:rsidRPr="00182589">
              <w:rPr>
                <w:rFonts w:eastAsia="Arial" w:cs="Arial"/>
                <w:b/>
                <w:bCs/>
              </w:rPr>
              <w:t xml:space="preserve">Diabetic Ketoacidosis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BBF9CF" w14:textId="2CD1E71C" w:rsidR="00AC1190" w:rsidRPr="00182589" w:rsidRDefault="00B0363C" w:rsidP="00AC1190">
            <w:pPr>
              <w:spacing w:after="0" w:line="360" w:lineRule="auto"/>
              <w:jc w:val="center"/>
              <w:rPr>
                <w:rFonts w:eastAsia="Arial" w:cs="Arial"/>
                <w:bCs/>
              </w:rPr>
            </w:pPr>
            <w:r w:rsidRPr="00182589">
              <w:rPr>
                <w:rFonts w:eastAsia="Arial" w:cs="Arial"/>
                <w:bCs/>
              </w:rPr>
              <w:t>1.0</w:t>
            </w:r>
            <w:r w:rsidR="001D69C2" w:rsidRPr="00182589">
              <w:rPr>
                <w:rFonts w:eastAsia="Arial" w:cs="Arial"/>
                <w:bCs/>
              </w:rPr>
              <w:t>2 (0.97, 1.08)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D6B3EAF" w14:textId="132EBF93" w:rsidR="00AC1190" w:rsidRPr="00182589" w:rsidRDefault="00BB519B" w:rsidP="00AC1190">
            <w:pPr>
              <w:spacing w:after="0" w:line="360" w:lineRule="auto"/>
              <w:jc w:val="center"/>
              <w:rPr>
                <w:rFonts w:eastAsia="Arial" w:cs="Arial"/>
                <w:bCs/>
              </w:rPr>
            </w:pPr>
            <w:r w:rsidRPr="00182589">
              <w:rPr>
                <w:rFonts w:eastAsia="Arial" w:cs="Arial"/>
                <w:bCs/>
              </w:rPr>
              <w:t>0.4</w:t>
            </w:r>
          </w:p>
        </w:tc>
      </w:tr>
      <w:tr w:rsidR="00AC1190" w:rsidRPr="00182589" w14:paraId="022211B5" w14:textId="77777777" w:rsidTr="004E70FF">
        <w:trPr>
          <w:trHeight w:val="18"/>
        </w:trPr>
        <w:tc>
          <w:tcPr>
            <w:tcW w:w="5098"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5" w:type="dxa"/>
            </w:tcMar>
            <w:vAlign w:val="center"/>
          </w:tcPr>
          <w:p w14:paraId="6A667DCC" w14:textId="5BCB00E2" w:rsidR="00AC1190" w:rsidRPr="00182589" w:rsidRDefault="00AC1190" w:rsidP="00AC1190">
            <w:pPr>
              <w:spacing w:after="0" w:line="360" w:lineRule="auto"/>
              <w:rPr>
                <w:rFonts w:eastAsia="Arial" w:cs="Arial"/>
                <w:b/>
                <w:bCs/>
              </w:rPr>
            </w:pPr>
            <w:r w:rsidRPr="00182589">
              <w:rPr>
                <w:rFonts w:eastAsia="Arial" w:cs="Arial"/>
                <w:b/>
                <w:bCs/>
              </w:rPr>
              <w:t xml:space="preserve">Osmotic symptoms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F4DB17" w14:textId="49F0795C" w:rsidR="00AC1190" w:rsidRPr="00182589" w:rsidRDefault="00B0363C" w:rsidP="00AC1190">
            <w:pPr>
              <w:spacing w:after="0" w:line="360" w:lineRule="auto"/>
              <w:jc w:val="center"/>
              <w:rPr>
                <w:rFonts w:eastAsia="Arial" w:cs="Arial"/>
                <w:bCs/>
              </w:rPr>
            </w:pPr>
            <w:r w:rsidRPr="00182589">
              <w:rPr>
                <w:rFonts w:eastAsia="Arial" w:cs="Arial"/>
                <w:bCs/>
              </w:rPr>
              <w:t>1.</w:t>
            </w:r>
            <w:r w:rsidR="00004285" w:rsidRPr="00182589">
              <w:rPr>
                <w:rFonts w:eastAsia="Arial" w:cs="Arial"/>
                <w:bCs/>
              </w:rPr>
              <w:t>08 (0.97, 1.</w:t>
            </w:r>
            <w:r w:rsidR="00781762" w:rsidRPr="00182589">
              <w:rPr>
                <w:rFonts w:eastAsia="Arial" w:cs="Arial"/>
                <w:bCs/>
              </w:rPr>
              <w:t>20)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85F558" w14:textId="395CDA84" w:rsidR="00AC1190" w:rsidRPr="00182589" w:rsidRDefault="00BB519B" w:rsidP="00AC1190">
            <w:pPr>
              <w:spacing w:after="0" w:line="360" w:lineRule="auto"/>
              <w:jc w:val="center"/>
              <w:rPr>
                <w:rFonts w:eastAsia="Arial" w:cs="Arial"/>
                <w:bCs/>
              </w:rPr>
            </w:pPr>
            <w:r w:rsidRPr="00182589">
              <w:rPr>
                <w:rFonts w:eastAsia="Arial" w:cs="Arial"/>
                <w:bCs/>
              </w:rPr>
              <w:t>0.2</w:t>
            </w:r>
          </w:p>
        </w:tc>
      </w:tr>
    </w:tbl>
    <w:p w14:paraId="492ED117" w14:textId="68EF6ACD" w:rsidR="00B525BF" w:rsidRPr="00182589" w:rsidRDefault="00B525BF" w:rsidP="00207A57">
      <w:pPr>
        <w:spacing w:line="360" w:lineRule="auto"/>
        <w:rPr>
          <w:rFonts w:eastAsia="Arial" w:cs="Arial"/>
          <w:b/>
        </w:rPr>
        <w:sectPr w:rsidR="00B525BF" w:rsidRPr="00182589">
          <w:pgSz w:w="11906" w:h="16838"/>
          <w:pgMar w:top="1440" w:right="1440" w:bottom="1440" w:left="1440" w:header="708" w:footer="708" w:gutter="0"/>
          <w:cols w:space="708"/>
          <w:docGrid w:linePitch="360"/>
        </w:sectPr>
      </w:pPr>
    </w:p>
    <w:p w14:paraId="787B9656" w14:textId="2716752B" w:rsidR="00207A57" w:rsidRPr="00182589" w:rsidRDefault="004B094C" w:rsidP="00207A57">
      <w:pPr>
        <w:spacing w:line="360" w:lineRule="auto"/>
        <w:rPr>
          <w:rFonts w:eastAsia="Arial" w:cs="Arial"/>
          <w:b/>
          <w:sz w:val="24"/>
          <w:szCs w:val="24"/>
        </w:rPr>
      </w:pPr>
      <w:r w:rsidRPr="00182589">
        <w:rPr>
          <w:rFonts w:eastAsia="Arial" w:cs="Arial"/>
          <w:b/>
          <w:sz w:val="24"/>
          <w:szCs w:val="24"/>
        </w:rPr>
        <w:lastRenderedPageBreak/>
        <w:t xml:space="preserve">ESM </w:t>
      </w:r>
      <w:r w:rsidR="003F176B" w:rsidRPr="00182589">
        <w:rPr>
          <w:rFonts w:eastAsia="Arial" w:cs="Arial"/>
          <w:b/>
          <w:sz w:val="24"/>
          <w:szCs w:val="24"/>
        </w:rPr>
        <w:t>f</w:t>
      </w:r>
      <w:r w:rsidRPr="00182589">
        <w:rPr>
          <w:rFonts w:eastAsia="Arial" w:cs="Arial"/>
          <w:b/>
          <w:sz w:val="24"/>
          <w:szCs w:val="24"/>
        </w:rPr>
        <w:t>igure 1: Study flow chart</w:t>
      </w:r>
    </w:p>
    <w:p w14:paraId="3D787DB6" w14:textId="77777777" w:rsidR="003F176B" w:rsidRPr="00182589" w:rsidRDefault="003F176B" w:rsidP="00207A57">
      <w:pPr>
        <w:spacing w:line="360" w:lineRule="auto"/>
        <w:rPr>
          <w:rFonts w:eastAsia="Arial" w:cs="Arial"/>
        </w:rPr>
      </w:pPr>
    </w:p>
    <w:p w14:paraId="38435502" w14:textId="77777777" w:rsidR="004B094C" w:rsidRPr="00182589" w:rsidRDefault="008B16D4" w:rsidP="00207A57">
      <w:pPr>
        <w:spacing w:line="360" w:lineRule="auto"/>
        <w:rPr>
          <w:rFonts w:eastAsia="Arial" w:cs="Arial"/>
        </w:rPr>
      </w:pPr>
      <w:r w:rsidRPr="00182589">
        <w:rPr>
          <w:rFonts w:eastAsia="Arial" w:cs="Arial"/>
          <w:noProof/>
          <w:lang w:eastAsia="en-GB"/>
        </w:rPr>
        <w:drawing>
          <wp:inline distT="0" distB="0" distL="0" distR="0" wp14:anchorId="713724BB" wp14:editId="0C854C9B">
            <wp:extent cx="8762035" cy="495774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12536" cy="4986320"/>
                    </a:xfrm>
                    <a:prstGeom prst="rect">
                      <a:avLst/>
                    </a:prstGeom>
                    <a:noFill/>
                  </pic:spPr>
                </pic:pic>
              </a:graphicData>
            </a:graphic>
          </wp:inline>
        </w:drawing>
      </w:r>
    </w:p>
    <w:p w14:paraId="24184D6D" w14:textId="01DCEBE4" w:rsidR="003F176B" w:rsidRPr="00182589" w:rsidRDefault="003F176B" w:rsidP="003F176B">
      <w:pPr>
        <w:sectPr w:rsidR="003F176B" w:rsidRPr="00182589" w:rsidSect="003F176B">
          <w:pgSz w:w="16838" w:h="11906" w:orient="landscape"/>
          <w:pgMar w:top="1440" w:right="1440" w:bottom="1440" w:left="1440" w:header="709" w:footer="709" w:gutter="0"/>
          <w:cols w:space="708"/>
          <w:docGrid w:linePitch="360"/>
        </w:sectPr>
      </w:pPr>
    </w:p>
    <w:p w14:paraId="714C5498" w14:textId="74D4BBA7" w:rsidR="00754CE5" w:rsidRPr="00182589" w:rsidRDefault="00754CE5" w:rsidP="00754CE5">
      <w:pPr>
        <w:spacing w:line="360" w:lineRule="auto"/>
        <w:rPr>
          <w:sz w:val="24"/>
          <w:szCs w:val="24"/>
        </w:rPr>
      </w:pPr>
      <w:r w:rsidRPr="00182589">
        <w:rPr>
          <w:b/>
          <w:sz w:val="24"/>
          <w:szCs w:val="24"/>
        </w:rPr>
        <w:lastRenderedPageBreak/>
        <w:t xml:space="preserve">ESM </w:t>
      </w:r>
      <w:r w:rsidR="003F176B" w:rsidRPr="00182589">
        <w:rPr>
          <w:b/>
          <w:sz w:val="24"/>
          <w:szCs w:val="24"/>
        </w:rPr>
        <w:t>f</w:t>
      </w:r>
      <w:r w:rsidRPr="00182589">
        <w:rPr>
          <w:b/>
          <w:sz w:val="24"/>
          <w:szCs w:val="24"/>
        </w:rPr>
        <w:t>igure 2:</w:t>
      </w:r>
      <w:r w:rsidRPr="00182589">
        <w:rPr>
          <w:sz w:val="24"/>
          <w:szCs w:val="24"/>
        </w:rPr>
        <w:t xml:space="preserve"> The percentage annual Loss of C-peptide measured by UCPCR </w:t>
      </w:r>
      <w:r w:rsidR="00CA60E4" w:rsidRPr="00182589">
        <w:rPr>
          <w:sz w:val="24"/>
          <w:szCs w:val="24"/>
        </w:rPr>
        <w:t xml:space="preserve">by </w:t>
      </w:r>
      <w:r w:rsidR="0032633C" w:rsidRPr="00182589">
        <w:rPr>
          <w:sz w:val="24"/>
          <w:szCs w:val="24"/>
        </w:rPr>
        <w:t>decile</w:t>
      </w:r>
      <w:r w:rsidR="00CA60E4" w:rsidRPr="00182589">
        <w:rPr>
          <w:sz w:val="24"/>
          <w:szCs w:val="24"/>
        </w:rPr>
        <w:t xml:space="preserve"> of age of diagnosis for those classified as having type 1 diabetes </w:t>
      </w:r>
      <w:r w:rsidR="00F8094D" w:rsidRPr="00182589">
        <w:rPr>
          <w:sz w:val="24"/>
          <w:szCs w:val="24"/>
        </w:rPr>
        <w:t>(</w:t>
      </w:r>
      <w:r w:rsidR="009E57AD" w:rsidRPr="00182589">
        <w:rPr>
          <w:sz w:val="24"/>
          <w:szCs w:val="24"/>
        </w:rPr>
        <w:t>either multi autoantibody positivity or clinician diagnosis confirmed by a single positive autoantibody</w:t>
      </w:r>
      <w:r w:rsidR="00F8094D" w:rsidRPr="00182589">
        <w:rPr>
          <w:sz w:val="24"/>
          <w:szCs w:val="24"/>
        </w:rPr>
        <w:t>)</w:t>
      </w:r>
      <w:r w:rsidRPr="00182589">
        <w:rPr>
          <w:sz w:val="24"/>
          <w:szCs w:val="24"/>
        </w:rPr>
        <w:t>. Error bars are 95% confidence intervals</w:t>
      </w:r>
      <w:r w:rsidR="00F8094D" w:rsidRPr="00182589">
        <w:rPr>
          <w:sz w:val="24"/>
          <w:szCs w:val="24"/>
        </w:rPr>
        <w:t>.</w:t>
      </w:r>
    </w:p>
    <w:p w14:paraId="7CD53126" w14:textId="77777777" w:rsidR="00D1569E" w:rsidRPr="00182589" w:rsidRDefault="00D1569E" w:rsidP="00207A57">
      <w:pPr>
        <w:spacing w:line="360" w:lineRule="auto"/>
        <w:rPr>
          <w:b/>
        </w:rPr>
      </w:pPr>
    </w:p>
    <w:p w14:paraId="186CF881" w14:textId="42FE95E9" w:rsidR="00754CE5" w:rsidRPr="00182589" w:rsidRDefault="00BC75F9" w:rsidP="00207A57">
      <w:pPr>
        <w:spacing w:line="360" w:lineRule="auto"/>
        <w:rPr>
          <w:b/>
        </w:rPr>
      </w:pPr>
      <w:r w:rsidRPr="00182589">
        <w:rPr>
          <w:b/>
          <w:noProof/>
        </w:rPr>
        <w:drawing>
          <wp:inline distT="0" distB="0" distL="0" distR="0" wp14:anchorId="311B876D" wp14:editId="6DA6F815">
            <wp:extent cx="5817870" cy="36699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3872" cy="3673752"/>
                    </a:xfrm>
                    <a:prstGeom prst="rect">
                      <a:avLst/>
                    </a:prstGeom>
                    <a:noFill/>
                  </pic:spPr>
                </pic:pic>
              </a:graphicData>
            </a:graphic>
          </wp:inline>
        </w:drawing>
      </w:r>
      <w:r w:rsidR="00754CE5" w:rsidRPr="00182589">
        <w:rPr>
          <w:b/>
        </w:rPr>
        <w:br w:type="page"/>
      </w:r>
    </w:p>
    <w:p w14:paraId="075F9B10" w14:textId="512183C9" w:rsidR="00685282" w:rsidRPr="00182589" w:rsidRDefault="00B1021C" w:rsidP="00207A57">
      <w:pPr>
        <w:spacing w:line="360" w:lineRule="auto"/>
        <w:rPr>
          <w:sz w:val="24"/>
          <w:szCs w:val="24"/>
        </w:rPr>
      </w:pPr>
      <w:r w:rsidRPr="00182589">
        <w:rPr>
          <w:b/>
          <w:sz w:val="24"/>
          <w:szCs w:val="24"/>
        </w:rPr>
        <w:lastRenderedPageBreak/>
        <w:t xml:space="preserve">ESM </w:t>
      </w:r>
      <w:r w:rsidR="003F176B" w:rsidRPr="00182589">
        <w:rPr>
          <w:b/>
          <w:sz w:val="24"/>
          <w:szCs w:val="24"/>
        </w:rPr>
        <w:t>f</w:t>
      </w:r>
      <w:r w:rsidRPr="00182589">
        <w:rPr>
          <w:b/>
          <w:sz w:val="24"/>
          <w:szCs w:val="24"/>
        </w:rPr>
        <w:t xml:space="preserve">igure </w:t>
      </w:r>
      <w:r w:rsidR="0069281B" w:rsidRPr="00182589">
        <w:rPr>
          <w:b/>
          <w:sz w:val="24"/>
          <w:szCs w:val="24"/>
        </w:rPr>
        <w:t>3</w:t>
      </w:r>
      <w:r w:rsidR="00685282" w:rsidRPr="00182589">
        <w:rPr>
          <w:b/>
          <w:sz w:val="24"/>
          <w:szCs w:val="24"/>
        </w:rPr>
        <w:t>:</w:t>
      </w:r>
      <w:r w:rsidR="00685282" w:rsidRPr="00182589">
        <w:rPr>
          <w:sz w:val="24"/>
          <w:szCs w:val="24"/>
        </w:rPr>
        <w:t xml:space="preserve"> Loss of </w:t>
      </w:r>
      <w:r w:rsidR="007C73B5" w:rsidRPr="00182589">
        <w:rPr>
          <w:sz w:val="24"/>
          <w:szCs w:val="24"/>
        </w:rPr>
        <w:t>C-peptide measured by UCPCR (on log scale) in multi-antibody positivity participants split by insulin treatment received within 2 weeks of diagnosis.</w:t>
      </w:r>
      <w:r w:rsidR="00222D8A" w:rsidRPr="00182589">
        <w:rPr>
          <w:sz w:val="24"/>
          <w:szCs w:val="24"/>
        </w:rPr>
        <w:t xml:space="preserve"> Error bars are 95% confidence intervals</w:t>
      </w:r>
    </w:p>
    <w:p w14:paraId="79CC63B7" w14:textId="7D240F76" w:rsidR="004B094C" w:rsidRPr="00182589" w:rsidRDefault="002E21FF" w:rsidP="00207A57">
      <w:pPr>
        <w:spacing w:line="360" w:lineRule="auto"/>
      </w:pPr>
      <w:r w:rsidRPr="00182589">
        <w:rPr>
          <w:noProof/>
        </w:rPr>
        <w:drawing>
          <wp:inline distT="0" distB="0" distL="0" distR="0" wp14:anchorId="7B36F3A5" wp14:editId="6AA01732">
            <wp:extent cx="5926033" cy="3571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6246" cy="3572003"/>
                    </a:xfrm>
                    <a:prstGeom prst="rect">
                      <a:avLst/>
                    </a:prstGeom>
                    <a:noFill/>
                  </pic:spPr>
                </pic:pic>
              </a:graphicData>
            </a:graphic>
          </wp:inline>
        </w:drawing>
      </w:r>
    </w:p>
    <w:p w14:paraId="311A5872" w14:textId="77777777" w:rsidR="00404E7A" w:rsidRPr="00182589" w:rsidRDefault="00404E7A" w:rsidP="00404E7A">
      <w:pPr>
        <w:spacing w:line="360" w:lineRule="auto"/>
        <w:rPr>
          <w:b/>
        </w:rPr>
      </w:pPr>
    </w:p>
    <w:p w14:paraId="5ABFD5B8" w14:textId="77777777" w:rsidR="00B1021C" w:rsidRPr="00182589" w:rsidRDefault="00B1021C" w:rsidP="00B1021C">
      <w:pPr>
        <w:spacing w:line="360" w:lineRule="auto"/>
        <w:rPr>
          <w:b/>
        </w:rPr>
      </w:pPr>
      <w:r w:rsidRPr="00182589">
        <w:rPr>
          <w:b/>
        </w:rPr>
        <w:br w:type="page"/>
      </w:r>
    </w:p>
    <w:p w14:paraId="0C76D88D" w14:textId="07FFC3D7" w:rsidR="00B1021C" w:rsidRPr="00182589" w:rsidRDefault="00B1021C" w:rsidP="00B1021C">
      <w:pPr>
        <w:spacing w:line="360" w:lineRule="auto"/>
        <w:rPr>
          <w:sz w:val="24"/>
          <w:szCs w:val="24"/>
        </w:rPr>
      </w:pPr>
      <w:r w:rsidRPr="00182589">
        <w:rPr>
          <w:b/>
          <w:sz w:val="24"/>
          <w:szCs w:val="24"/>
        </w:rPr>
        <w:lastRenderedPageBreak/>
        <w:t xml:space="preserve">ESM </w:t>
      </w:r>
      <w:r w:rsidR="003F176B" w:rsidRPr="00182589">
        <w:rPr>
          <w:b/>
          <w:sz w:val="24"/>
          <w:szCs w:val="24"/>
        </w:rPr>
        <w:t>f</w:t>
      </w:r>
      <w:r w:rsidRPr="00182589">
        <w:rPr>
          <w:b/>
          <w:sz w:val="24"/>
          <w:szCs w:val="24"/>
        </w:rPr>
        <w:t xml:space="preserve">igure </w:t>
      </w:r>
      <w:r w:rsidR="0069281B" w:rsidRPr="00182589">
        <w:rPr>
          <w:b/>
          <w:sz w:val="24"/>
          <w:szCs w:val="24"/>
        </w:rPr>
        <w:t>4</w:t>
      </w:r>
      <w:r w:rsidRPr="00182589">
        <w:rPr>
          <w:b/>
          <w:sz w:val="24"/>
          <w:szCs w:val="24"/>
        </w:rPr>
        <w:t>:</w:t>
      </w:r>
      <w:r w:rsidRPr="00182589">
        <w:rPr>
          <w:sz w:val="24"/>
          <w:szCs w:val="24"/>
        </w:rPr>
        <w:t xml:space="preserve"> Type 1 diabetes genetic risk score (T1DGRS) in multi-antibody positivity participants split by insulin treatment received within 2 weeks of diagnosis. Mean and 95% confidence intervals shown.</w:t>
      </w:r>
    </w:p>
    <w:p w14:paraId="465E517E" w14:textId="77777777" w:rsidR="00B1021C" w:rsidRPr="00182589" w:rsidRDefault="00B1021C" w:rsidP="00B1021C">
      <w:pPr>
        <w:spacing w:line="360" w:lineRule="auto"/>
        <w:jc w:val="center"/>
      </w:pPr>
    </w:p>
    <w:p w14:paraId="2B69386D" w14:textId="77777777" w:rsidR="00B1021C" w:rsidRPr="00182589" w:rsidRDefault="00B1021C" w:rsidP="00B1021C">
      <w:pPr>
        <w:spacing w:line="360" w:lineRule="auto"/>
        <w:jc w:val="center"/>
      </w:pPr>
      <w:r w:rsidRPr="00182589">
        <w:rPr>
          <w:noProof/>
          <w:lang w:eastAsia="en-GB"/>
        </w:rPr>
        <w:drawing>
          <wp:inline distT="0" distB="0" distL="0" distR="0" wp14:anchorId="19E17845" wp14:editId="79CFBABE">
            <wp:extent cx="3480184" cy="42672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724"/>
                    <a:stretch/>
                  </pic:blipFill>
                  <pic:spPr bwMode="auto">
                    <a:xfrm>
                      <a:off x="0" y="0"/>
                      <a:ext cx="3493311" cy="4283296"/>
                    </a:xfrm>
                    <a:prstGeom prst="rect">
                      <a:avLst/>
                    </a:prstGeom>
                    <a:noFill/>
                    <a:ln>
                      <a:noFill/>
                    </a:ln>
                    <a:extLst>
                      <a:ext uri="{53640926-AAD7-44D8-BBD7-CCE9431645EC}">
                        <a14:shadowObscured xmlns:a14="http://schemas.microsoft.com/office/drawing/2010/main"/>
                      </a:ext>
                    </a:extLst>
                  </pic:spPr>
                </pic:pic>
              </a:graphicData>
            </a:graphic>
          </wp:inline>
        </w:drawing>
      </w:r>
    </w:p>
    <w:p w14:paraId="7EA6656A" w14:textId="77777777" w:rsidR="00B1021C" w:rsidRPr="00182589" w:rsidRDefault="00B1021C" w:rsidP="00404E7A">
      <w:pPr>
        <w:spacing w:line="360" w:lineRule="auto"/>
      </w:pPr>
      <w:r w:rsidRPr="00182589">
        <w:br w:type="page"/>
      </w:r>
    </w:p>
    <w:p w14:paraId="508DA013" w14:textId="3D235F8B" w:rsidR="00404E7A" w:rsidRPr="00182589" w:rsidRDefault="00404E7A" w:rsidP="00404E7A">
      <w:pPr>
        <w:spacing w:line="360" w:lineRule="auto"/>
        <w:rPr>
          <w:sz w:val="24"/>
          <w:szCs w:val="24"/>
        </w:rPr>
      </w:pPr>
      <w:r w:rsidRPr="00182589">
        <w:rPr>
          <w:b/>
          <w:sz w:val="24"/>
          <w:szCs w:val="24"/>
        </w:rPr>
        <w:lastRenderedPageBreak/>
        <w:t xml:space="preserve">ESM </w:t>
      </w:r>
      <w:r w:rsidR="003F176B" w:rsidRPr="00182589">
        <w:rPr>
          <w:b/>
          <w:sz w:val="24"/>
          <w:szCs w:val="24"/>
        </w:rPr>
        <w:t>f</w:t>
      </w:r>
      <w:r w:rsidRPr="00182589">
        <w:rPr>
          <w:b/>
          <w:sz w:val="24"/>
          <w:szCs w:val="24"/>
        </w:rPr>
        <w:t xml:space="preserve">igure </w:t>
      </w:r>
      <w:r w:rsidR="0069281B" w:rsidRPr="00182589">
        <w:rPr>
          <w:b/>
          <w:sz w:val="24"/>
          <w:szCs w:val="24"/>
        </w:rPr>
        <w:t>5</w:t>
      </w:r>
      <w:r w:rsidRPr="00182589">
        <w:rPr>
          <w:b/>
          <w:sz w:val="24"/>
          <w:szCs w:val="24"/>
        </w:rPr>
        <w:t>:</w:t>
      </w:r>
      <w:r w:rsidRPr="00182589">
        <w:rPr>
          <w:sz w:val="24"/>
          <w:szCs w:val="24"/>
        </w:rPr>
        <w:t xml:space="preserve"> Loss of C-peptide measured by UCPCR (on log scale) </w:t>
      </w:r>
      <w:r w:rsidR="00302005" w:rsidRPr="00182589">
        <w:rPr>
          <w:sz w:val="24"/>
          <w:szCs w:val="24"/>
        </w:rPr>
        <w:t xml:space="preserve">in those with a clinical diagnosis of type 1 diabetes </w:t>
      </w:r>
      <w:r w:rsidR="00066C68" w:rsidRPr="00182589">
        <w:rPr>
          <w:sz w:val="24"/>
          <w:szCs w:val="24"/>
        </w:rPr>
        <w:t>s</w:t>
      </w:r>
      <w:r w:rsidRPr="00182589">
        <w:rPr>
          <w:sz w:val="24"/>
          <w:szCs w:val="24"/>
        </w:rPr>
        <w:t xml:space="preserve">plit by </w:t>
      </w:r>
      <w:r w:rsidR="00066C68" w:rsidRPr="00182589">
        <w:rPr>
          <w:sz w:val="24"/>
          <w:szCs w:val="24"/>
        </w:rPr>
        <w:t>number of positive autoantibodies</w:t>
      </w:r>
      <w:r w:rsidRPr="00182589">
        <w:rPr>
          <w:sz w:val="24"/>
          <w:szCs w:val="24"/>
        </w:rPr>
        <w:t xml:space="preserve">: </w:t>
      </w:r>
      <w:r w:rsidRPr="00182589">
        <w:rPr>
          <w:rFonts w:cstheme="minorHAnsi"/>
          <w:sz w:val="24"/>
          <w:szCs w:val="24"/>
        </w:rPr>
        <w:t>≥</w:t>
      </w:r>
      <w:r w:rsidRPr="00182589">
        <w:rPr>
          <w:sz w:val="24"/>
          <w:szCs w:val="24"/>
        </w:rPr>
        <w:t xml:space="preserve">2 </w:t>
      </w:r>
      <w:r w:rsidR="00066C68" w:rsidRPr="00182589">
        <w:rPr>
          <w:sz w:val="24"/>
          <w:szCs w:val="24"/>
        </w:rPr>
        <w:t>p</w:t>
      </w:r>
      <w:r w:rsidRPr="00182589">
        <w:rPr>
          <w:sz w:val="24"/>
          <w:szCs w:val="24"/>
        </w:rPr>
        <w:t xml:space="preserve">ositive </w:t>
      </w:r>
      <w:r w:rsidR="00066C68" w:rsidRPr="00182589">
        <w:rPr>
          <w:sz w:val="24"/>
          <w:szCs w:val="24"/>
        </w:rPr>
        <w:t>auto</w:t>
      </w:r>
      <w:r w:rsidRPr="00182589">
        <w:rPr>
          <w:sz w:val="24"/>
          <w:szCs w:val="24"/>
        </w:rPr>
        <w:t>antibodies vs 1 positive</w:t>
      </w:r>
      <w:r w:rsidR="00066C68" w:rsidRPr="00182589">
        <w:rPr>
          <w:sz w:val="24"/>
          <w:szCs w:val="24"/>
        </w:rPr>
        <w:t xml:space="preserve"> autoantibody</w:t>
      </w:r>
      <w:r w:rsidRPr="00182589">
        <w:rPr>
          <w:sz w:val="24"/>
          <w:szCs w:val="24"/>
        </w:rPr>
        <w:t>. Error bars are 95% confidence intervals</w:t>
      </w:r>
    </w:p>
    <w:p w14:paraId="6442C973" w14:textId="23FB319C" w:rsidR="002C78AA" w:rsidRPr="00182589" w:rsidRDefault="00EE3E17" w:rsidP="00207A57">
      <w:pPr>
        <w:spacing w:line="360" w:lineRule="auto"/>
      </w:pPr>
      <w:r w:rsidRPr="00182589">
        <w:rPr>
          <w:noProof/>
        </w:rPr>
        <w:drawing>
          <wp:inline distT="0" distB="0" distL="0" distR="0" wp14:anchorId="612C7611" wp14:editId="39471B79">
            <wp:extent cx="6017296" cy="3483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706" cy="3485130"/>
                    </a:xfrm>
                    <a:prstGeom prst="rect">
                      <a:avLst/>
                    </a:prstGeom>
                    <a:noFill/>
                  </pic:spPr>
                </pic:pic>
              </a:graphicData>
            </a:graphic>
          </wp:inline>
        </w:drawing>
      </w:r>
    </w:p>
    <w:p w14:paraId="76AAF5C0" w14:textId="17A2BCEA" w:rsidR="006D275E" w:rsidRPr="00182589" w:rsidRDefault="006D275E" w:rsidP="00207A57">
      <w:pPr>
        <w:spacing w:line="360" w:lineRule="auto"/>
      </w:pPr>
    </w:p>
    <w:p w14:paraId="37DBA84F" w14:textId="77777777" w:rsidR="00640881" w:rsidRDefault="00640881" w:rsidP="00207A57">
      <w:pPr>
        <w:spacing w:line="360" w:lineRule="auto"/>
      </w:pPr>
    </w:p>
    <w:p w14:paraId="7C4DD114" w14:textId="77777777" w:rsidR="00640881" w:rsidRDefault="00640881" w:rsidP="00207A57">
      <w:pPr>
        <w:spacing w:line="360" w:lineRule="auto"/>
      </w:pPr>
    </w:p>
    <w:p w14:paraId="04804372" w14:textId="77777777" w:rsidR="00640881" w:rsidRPr="00640881" w:rsidRDefault="00640881" w:rsidP="00640881">
      <w:pPr>
        <w:pStyle w:val="EndNoteBibliography"/>
        <w:spacing w:after="0"/>
      </w:pPr>
      <w:r>
        <w:fldChar w:fldCharType="begin"/>
      </w:r>
      <w:r>
        <w:instrText xml:space="preserve"> ADDIN EN.REFLIST </w:instrText>
      </w:r>
      <w:r>
        <w:fldChar w:fldCharType="separate"/>
      </w:r>
      <w:r w:rsidRPr="00640881">
        <w:t>1. Oram RA, Sharp SA, Pihoker C, Ferrat L, Imperatore G, Williams A, Redondo MJ, Wagenknecht L, Dolan LM, Lawrence JM, Weedon MN, D'Agostino R, Hagopian WA, Divers J, Dabelea D. Utility of Diabetes Type-Specific Genetic Risk Scores for the Classification of Diabetes Type Among Multiethnic Youth. Diabetes Care 2022;45:1124-1131</w:t>
      </w:r>
    </w:p>
    <w:p w14:paraId="1CB7DE11" w14:textId="77777777" w:rsidR="00640881" w:rsidRPr="00640881" w:rsidRDefault="00640881" w:rsidP="00640881">
      <w:pPr>
        <w:pStyle w:val="EndNoteBibliography"/>
      </w:pPr>
      <w:r w:rsidRPr="00640881">
        <w:t>2. Sharp SA, Rich SS, Wood AR, Jones SE, Beaumont RN, Harrison JW, Schneider DA, Locke JM, Tyrrell J, Weedon MN, Hagopian WA, Oram RA. Development and Standardization of an Improved Type 1 Diabetes Genetic Risk Score for Use in Newborn Screening and Incident Diagnosis. Diabetes Care 2019;42:200-207</w:t>
      </w:r>
    </w:p>
    <w:p w14:paraId="593621B7" w14:textId="18F8D2B3" w:rsidR="00E0181A" w:rsidRPr="00182589" w:rsidRDefault="00640881" w:rsidP="00207A57">
      <w:pPr>
        <w:spacing w:line="360" w:lineRule="auto"/>
      </w:pPr>
      <w:r>
        <w:fldChar w:fldCharType="end"/>
      </w:r>
    </w:p>
    <w:sectPr w:rsidR="00E0181A" w:rsidRPr="00182589" w:rsidSect="003F176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Diabetes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2fezts4p5pe5e5fdtp95wl5t5vz5x0fvt2&quot;&gt;My EndNote Library-Saved&lt;record-ids&gt;&lt;item&gt;4590&lt;/item&gt;&lt;item&gt;5362&lt;/item&gt;&lt;/record-ids&gt;&lt;/item&gt;&lt;/Libraries&gt;"/>
  </w:docVars>
  <w:rsids>
    <w:rsidRoot w:val="00207A57"/>
    <w:rsid w:val="000032FD"/>
    <w:rsid w:val="00004285"/>
    <w:rsid w:val="000320D6"/>
    <w:rsid w:val="000423B1"/>
    <w:rsid w:val="0004507A"/>
    <w:rsid w:val="00066C68"/>
    <w:rsid w:val="0006790B"/>
    <w:rsid w:val="001321BF"/>
    <w:rsid w:val="00182589"/>
    <w:rsid w:val="00195D13"/>
    <w:rsid w:val="001D3C05"/>
    <w:rsid w:val="001D69C2"/>
    <w:rsid w:val="001E3002"/>
    <w:rsid w:val="001E342D"/>
    <w:rsid w:val="00207A57"/>
    <w:rsid w:val="00213E8A"/>
    <w:rsid w:val="00222D8A"/>
    <w:rsid w:val="00262EC7"/>
    <w:rsid w:val="002C1951"/>
    <w:rsid w:val="002C78AA"/>
    <w:rsid w:val="002E21FF"/>
    <w:rsid w:val="002F5F7C"/>
    <w:rsid w:val="00302005"/>
    <w:rsid w:val="0032633C"/>
    <w:rsid w:val="00343D66"/>
    <w:rsid w:val="003575AD"/>
    <w:rsid w:val="003616F1"/>
    <w:rsid w:val="00361D78"/>
    <w:rsid w:val="003938A1"/>
    <w:rsid w:val="003B1328"/>
    <w:rsid w:val="003C0734"/>
    <w:rsid w:val="003E5ADF"/>
    <w:rsid w:val="003E6E13"/>
    <w:rsid w:val="003F176B"/>
    <w:rsid w:val="00404E7A"/>
    <w:rsid w:val="00410A72"/>
    <w:rsid w:val="0045370D"/>
    <w:rsid w:val="00472D1C"/>
    <w:rsid w:val="004A14A8"/>
    <w:rsid w:val="004B094C"/>
    <w:rsid w:val="004D17ED"/>
    <w:rsid w:val="004E5CB5"/>
    <w:rsid w:val="004E70FF"/>
    <w:rsid w:val="004F49D4"/>
    <w:rsid w:val="0052661C"/>
    <w:rsid w:val="0055606C"/>
    <w:rsid w:val="00566571"/>
    <w:rsid w:val="00567E05"/>
    <w:rsid w:val="00570166"/>
    <w:rsid w:val="0057283C"/>
    <w:rsid w:val="00573BEF"/>
    <w:rsid w:val="00585BC7"/>
    <w:rsid w:val="005A74ED"/>
    <w:rsid w:val="005D7BEF"/>
    <w:rsid w:val="005E0948"/>
    <w:rsid w:val="005F1FD1"/>
    <w:rsid w:val="00601533"/>
    <w:rsid w:val="0060700C"/>
    <w:rsid w:val="00614955"/>
    <w:rsid w:val="00640881"/>
    <w:rsid w:val="00643522"/>
    <w:rsid w:val="006805DB"/>
    <w:rsid w:val="00685282"/>
    <w:rsid w:val="0068723D"/>
    <w:rsid w:val="0069281B"/>
    <w:rsid w:val="006C060B"/>
    <w:rsid w:val="006D275E"/>
    <w:rsid w:val="006D7420"/>
    <w:rsid w:val="00707DD5"/>
    <w:rsid w:val="00754CE5"/>
    <w:rsid w:val="00763AE2"/>
    <w:rsid w:val="00781762"/>
    <w:rsid w:val="007B3B83"/>
    <w:rsid w:val="007C73B5"/>
    <w:rsid w:val="007D4AEB"/>
    <w:rsid w:val="007F2B3E"/>
    <w:rsid w:val="0080295B"/>
    <w:rsid w:val="00827037"/>
    <w:rsid w:val="008A0C4E"/>
    <w:rsid w:val="008A2CDE"/>
    <w:rsid w:val="008B16D4"/>
    <w:rsid w:val="008D445B"/>
    <w:rsid w:val="008E2D31"/>
    <w:rsid w:val="00916DEE"/>
    <w:rsid w:val="0093677D"/>
    <w:rsid w:val="009541C3"/>
    <w:rsid w:val="00967C57"/>
    <w:rsid w:val="0098535B"/>
    <w:rsid w:val="009C709A"/>
    <w:rsid w:val="009E57AD"/>
    <w:rsid w:val="00A467EA"/>
    <w:rsid w:val="00A60C0E"/>
    <w:rsid w:val="00AC1190"/>
    <w:rsid w:val="00AF4AA5"/>
    <w:rsid w:val="00B0363C"/>
    <w:rsid w:val="00B1021C"/>
    <w:rsid w:val="00B44DB0"/>
    <w:rsid w:val="00B525BF"/>
    <w:rsid w:val="00B52A59"/>
    <w:rsid w:val="00B94DCA"/>
    <w:rsid w:val="00BB519B"/>
    <w:rsid w:val="00BC75F9"/>
    <w:rsid w:val="00BF3132"/>
    <w:rsid w:val="00C05ABC"/>
    <w:rsid w:val="00CA60E4"/>
    <w:rsid w:val="00CB2790"/>
    <w:rsid w:val="00CC38AE"/>
    <w:rsid w:val="00CF3D07"/>
    <w:rsid w:val="00D1569E"/>
    <w:rsid w:val="00D418CB"/>
    <w:rsid w:val="00D561F1"/>
    <w:rsid w:val="00D708BD"/>
    <w:rsid w:val="00DA15D3"/>
    <w:rsid w:val="00DE1FEE"/>
    <w:rsid w:val="00E0181A"/>
    <w:rsid w:val="00E165A2"/>
    <w:rsid w:val="00E27C1A"/>
    <w:rsid w:val="00E5634B"/>
    <w:rsid w:val="00E65E20"/>
    <w:rsid w:val="00EC1689"/>
    <w:rsid w:val="00EC1EEB"/>
    <w:rsid w:val="00EE238D"/>
    <w:rsid w:val="00EE3E17"/>
    <w:rsid w:val="00EF5FF5"/>
    <w:rsid w:val="00F46E6E"/>
    <w:rsid w:val="00F8094D"/>
    <w:rsid w:val="00FA46D2"/>
    <w:rsid w:val="00FA7317"/>
    <w:rsid w:val="00FB7167"/>
    <w:rsid w:val="00FE3BD3"/>
    <w:rsid w:val="00FE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1542"/>
  <w15:chartTrackingRefBased/>
  <w15:docId w15:val="{CD83871A-07E0-4D51-BBF4-4E4EFA96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A57"/>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5282"/>
    <w:pPr>
      <w:ind w:left="720"/>
      <w:contextualSpacing/>
    </w:pPr>
  </w:style>
  <w:style w:type="paragraph" w:styleId="BalloonText">
    <w:name w:val="Balloon Text"/>
    <w:basedOn w:val="Normal"/>
    <w:link w:val="BalloonTextChar"/>
    <w:uiPriority w:val="99"/>
    <w:semiHidden/>
    <w:unhideWhenUsed/>
    <w:rsid w:val="008029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5B"/>
    <w:rPr>
      <w:rFonts w:ascii="Segoe UI" w:hAnsi="Segoe UI" w:cs="Segoe UI"/>
      <w:sz w:val="18"/>
      <w:szCs w:val="18"/>
    </w:rPr>
  </w:style>
  <w:style w:type="table" w:styleId="TableGrid">
    <w:name w:val="Table Grid"/>
    <w:basedOn w:val="TableNormal"/>
    <w:uiPriority w:val="39"/>
    <w:rsid w:val="002C19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408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40881"/>
    <w:rPr>
      <w:rFonts w:ascii="Calibri" w:hAnsi="Calibri" w:cs="Calibri"/>
      <w:noProof/>
      <w:lang w:val="en-US"/>
    </w:rPr>
  </w:style>
  <w:style w:type="paragraph" w:customStyle="1" w:styleId="EndNoteBibliography">
    <w:name w:val="EndNote Bibliography"/>
    <w:basedOn w:val="Normal"/>
    <w:link w:val="EndNoteBibliographyChar"/>
    <w:rsid w:val="00640881"/>
    <w:rPr>
      <w:rFonts w:ascii="Calibri" w:hAnsi="Calibri" w:cs="Calibri"/>
      <w:noProof/>
      <w:lang w:val="en-US"/>
    </w:rPr>
  </w:style>
  <w:style w:type="character" w:customStyle="1" w:styleId="EndNoteBibliographyChar">
    <w:name w:val="EndNote Bibliography Char"/>
    <w:basedOn w:val="DefaultParagraphFont"/>
    <w:link w:val="EndNoteBibliography"/>
    <w:rsid w:val="0064088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1298">
      <w:bodyDiv w:val="1"/>
      <w:marLeft w:val="0"/>
      <w:marRight w:val="0"/>
      <w:marTop w:val="0"/>
      <w:marBottom w:val="0"/>
      <w:divBdr>
        <w:top w:val="none" w:sz="0" w:space="0" w:color="auto"/>
        <w:left w:val="none" w:sz="0" w:space="0" w:color="auto"/>
        <w:bottom w:val="none" w:sz="0" w:space="0" w:color="auto"/>
        <w:right w:val="none" w:sz="0" w:space="0" w:color="auto"/>
      </w:divBdr>
    </w:div>
    <w:div w:id="352460092">
      <w:bodyDiv w:val="1"/>
      <w:marLeft w:val="0"/>
      <w:marRight w:val="0"/>
      <w:marTop w:val="0"/>
      <w:marBottom w:val="0"/>
      <w:divBdr>
        <w:top w:val="none" w:sz="0" w:space="0" w:color="auto"/>
        <w:left w:val="none" w:sz="0" w:space="0" w:color="auto"/>
        <w:bottom w:val="none" w:sz="0" w:space="0" w:color="auto"/>
        <w:right w:val="none" w:sz="0" w:space="0" w:color="auto"/>
      </w:divBdr>
    </w:div>
    <w:div w:id="374549361">
      <w:bodyDiv w:val="1"/>
      <w:marLeft w:val="0"/>
      <w:marRight w:val="0"/>
      <w:marTop w:val="0"/>
      <w:marBottom w:val="0"/>
      <w:divBdr>
        <w:top w:val="none" w:sz="0" w:space="0" w:color="auto"/>
        <w:left w:val="none" w:sz="0" w:space="0" w:color="auto"/>
        <w:bottom w:val="none" w:sz="0" w:space="0" w:color="auto"/>
        <w:right w:val="none" w:sz="0" w:space="0" w:color="auto"/>
      </w:divBdr>
    </w:div>
    <w:div w:id="555509995">
      <w:bodyDiv w:val="1"/>
      <w:marLeft w:val="0"/>
      <w:marRight w:val="0"/>
      <w:marTop w:val="0"/>
      <w:marBottom w:val="0"/>
      <w:divBdr>
        <w:top w:val="none" w:sz="0" w:space="0" w:color="auto"/>
        <w:left w:val="none" w:sz="0" w:space="0" w:color="auto"/>
        <w:bottom w:val="none" w:sz="0" w:space="0" w:color="auto"/>
        <w:right w:val="none" w:sz="0" w:space="0" w:color="auto"/>
      </w:divBdr>
    </w:div>
    <w:div w:id="605650085">
      <w:bodyDiv w:val="1"/>
      <w:marLeft w:val="0"/>
      <w:marRight w:val="0"/>
      <w:marTop w:val="0"/>
      <w:marBottom w:val="0"/>
      <w:divBdr>
        <w:top w:val="none" w:sz="0" w:space="0" w:color="auto"/>
        <w:left w:val="none" w:sz="0" w:space="0" w:color="auto"/>
        <w:bottom w:val="none" w:sz="0" w:space="0" w:color="auto"/>
        <w:right w:val="none" w:sz="0" w:space="0" w:color="auto"/>
      </w:divBdr>
    </w:div>
    <w:div w:id="648753907">
      <w:bodyDiv w:val="1"/>
      <w:marLeft w:val="0"/>
      <w:marRight w:val="0"/>
      <w:marTop w:val="0"/>
      <w:marBottom w:val="0"/>
      <w:divBdr>
        <w:top w:val="none" w:sz="0" w:space="0" w:color="auto"/>
        <w:left w:val="none" w:sz="0" w:space="0" w:color="auto"/>
        <w:bottom w:val="none" w:sz="0" w:space="0" w:color="auto"/>
        <w:right w:val="none" w:sz="0" w:space="0" w:color="auto"/>
      </w:divBdr>
    </w:div>
    <w:div w:id="988174138">
      <w:bodyDiv w:val="1"/>
      <w:marLeft w:val="0"/>
      <w:marRight w:val="0"/>
      <w:marTop w:val="0"/>
      <w:marBottom w:val="0"/>
      <w:divBdr>
        <w:top w:val="none" w:sz="0" w:space="0" w:color="auto"/>
        <w:left w:val="none" w:sz="0" w:space="0" w:color="auto"/>
        <w:bottom w:val="none" w:sz="0" w:space="0" w:color="auto"/>
        <w:right w:val="none" w:sz="0" w:space="0" w:color="auto"/>
      </w:divBdr>
    </w:div>
    <w:div w:id="1059134690">
      <w:bodyDiv w:val="1"/>
      <w:marLeft w:val="0"/>
      <w:marRight w:val="0"/>
      <w:marTop w:val="0"/>
      <w:marBottom w:val="0"/>
      <w:divBdr>
        <w:top w:val="none" w:sz="0" w:space="0" w:color="auto"/>
        <w:left w:val="none" w:sz="0" w:space="0" w:color="auto"/>
        <w:bottom w:val="none" w:sz="0" w:space="0" w:color="auto"/>
        <w:right w:val="none" w:sz="0" w:space="0" w:color="auto"/>
      </w:divBdr>
    </w:div>
    <w:div w:id="1352799055">
      <w:bodyDiv w:val="1"/>
      <w:marLeft w:val="0"/>
      <w:marRight w:val="0"/>
      <w:marTop w:val="0"/>
      <w:marBottom w:val="0"/>
      <w:divBdr>
        <w:top w:val="none" w:sz="0" w:space="0" w:color="auto"/>
        <w:left w:val="none" w:sz="0" w:space="0" w:color="auto"/>
        <w:bottom w:val="none" w:sz="0" w:space="0" w:color="auto"/>
        <w:right w:val="none" w:sz="0" w:space="0" w:color="auto"/>
      </w:divBdr>
    </w:div>
    <w:div w:id="1591161923">
      <w:bodyDiv w:val="1"/>
      <w:marLeft w:val="0"/>
      <w:marRight w:val="0"/>
      <w:marTop w:val="0"/>
      <w:marBottom w:val="0"/>
      <w:divBdr>
        <w:top w:val="none" w:sz="0" w:space="0" w:color="auto"/>
        <w:left w:val="none" w:sz="0" w:space="0" w:color="auto"/>
        <w:bottom w:val="none" w:sz="0" w:space="0" w:color="auto"/>
        <w:right w:val="none" w:sz="0" w:space="0" w:color="auto"/>
      </w:divBdr>
    </w:div>
    <w:div w:id="1617063096">
      <w:bodyDiv w:val="1"/>
      <w:marLeft w:val="0"/>
      <w:marRight w:val="0"/>
      <w:marTop w:val="0"/>
      <w:marBottom w:val="0"/>
      <w:divBdr>
        <w:top w:val="none" w:sz="0" w:space="0" w:color="auto"/>
        <w:left w:val="none" w:sz="0" w:space="0" w:color="auto"/>
        <w:bottom w:val="none" w:sz="0" w:space="0" w:color="auto"/>
        <w:right w:val="none" w:sz="0" w:space="0" w:color="auto"/>
      </w:divBdr>
    </w:div>
    <w:div w:id="1689060806">
      <w:bodyDiv w:val="1"/>
      <w:marLeft w:val="0"/>
      <w:marRight w:val="0"/>
      <w:marTop w:val="0"/>
      <w:marBottom w:val="0"/>
      <w:divBdr>
        <w:top w:val="none" w:sz="0" w:space="0" w:color="auto"/>
        <w:left w:val="none" w:sz="0" w:space="0" w:color="auto"/>
        <w:bottom w:val="none" w:sz="0" w:space="0" w:color="auto"/>
        <w:right w:val="none" w:sz="0" w:space="0" w:color="auto"/>
      </w:divBdr>
    </w:div>
    <w:div w:id="19357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dc:creator>
  <cp:keywords/>
  <dc:description/>
  <cp:lastModifiedBy>Thomas, Nicholas</cp:lastModifiedBy>
  <cp:revision>6</cp:revision>
  <dcterms:created xsi:type="dcterms:W3CDTF">2022-12-16T15:54:00Z</dcterms:created>
  <dcterms:modified xsi:type="dcterms:W3CDTF">2023-01-03T14:16:00Z</dcterms:modified>
</cp:coreProperties>
</file>