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AAD0" w14:textId="41FFE590" w:rsidR="00954643" w:rsidRPr="00074DB9" w:rsidRDefault="00954643" w:rsidP="00954643">
      <w:pPr>
        <w:pStyle w:val="Heading3"/>
        <w:rPr>
          <w:rFonts w:ascii="Times New Roman" w:hAnsi="Times New Roman" w:cs="Times New Roman"/>
          <w:sz w:val="24"/>
        </w:rPr>
      </w:pPr>
      <w:bookmarkStart w:id="0" w:name="_Toc527978708"/>
      <w:bookmarkStart w:id="1" w:name="_Hlk61008971"/>
      <w:r w:rsidRPr="00074DB9">
        <w:rPr>
          <w:rFonts w:ascii="Times New Roman" w:hAnsi="Times New Roman" w:cs="Times New Roman"/>
          <w:sz w:val="24"/>
        </w:rPr>
        <w:t>Supplementa</w:t>
      </w:r>
      <w:r w:rsidR="004771F5">
        <w:rPr>
          <w:rFonts w:ascii="Times New Roman" w:hAnsi="Times New Roman" w:cs="Times New Roman"/>
          <w:sz w:val="24"/>
        </w:rPr>
        <w:t>ry</w:t>
      </w:r>
      <w:r w:rsidRPr="00074DB9">
        <w:rPr>
          <w:rFonts w:ascii="Times New Roman" w:hAnsi="Times New Roman" w:cs="Times New Roman"/>
          <w:sz w:val="24"/>
        </w:rPr>
        <w:t xml:space="preserve"> Table </w:t>
      </w:r>
      <w:r w:rsidR="004771F5">
        <w:rPr>
          <w:rFonts w:ascii="Times New Roman" w:hAnsi="Times New Roman" w:cs="Times New Roman"/>
          <w:sz w:val="24"/>
        </w:rPr>
        <w:t>S</w:t>
      </w:r>
      <w:r w:rsidRPr="00074DB9">
        <w:rPr>
          <w:rFonts w:ascii="Times New Roman" w:hAnsi="Times New Roman" w:cs="Times New Roman"/>
          <w:sz w:val="24"/>
        </w:rPr>
        <w:t xml:space="preserve">1. Estimated* </w:t>
      </w:r>
      <w:r w:rsidR="00A57B8A">
        <w:rPr>
          <w:rFonts w:ascii="Times New Roman" w:hAnsi="Times New Roman" w:cs="Times New Roman"/>
          <w:sz w:val="24"/>
        </w:rPr>
        <w:t>W</w:t>
      </w:r>
      <w:r w:rsidRPr="00074DB9">
        <w:rPr>
          <w:rFonts w:ascii="Times New Roman" w:hAnsi="Times New Roman" w:cs="Times New Roman"/>
          <w:sz w:val="24"/>
        </w:rPr>
        <w:t xml:space="preserve">eight and </w:t>
      </w:r>
      <w:r w:rsidR="00A57B8A">
        <w:rPr>
          <w:rFonts w:ascii="Times New Roman" w:hAnsi="Times New Roman" w:cs="Times New Roman"/>
          <w:sz w:val="24"/>
        </w:rPr>
        <w:t>C</w:t>
      </w:r>
      <w:r w:rsidRPr="00074DB9">
        <w:rPr>
          <w:rFonts w:ascii="Times New Roman" w:hAnsi="Times New Roman" w:cs="Times New Roman"/>
          <w:sz w:val="24"/>
        </w:rPr>
        <w:t xml:space="preserve">hange in </w:t>
      </w:r>
      <w:r w:rsidR="00A57B8A">
        <w:rPr>
          <w:rFonts w:ascii="Times New Roman" w:hAnsi="Times New Roman" w:cs="Times New Roman"/>
          <w:sz w:val="24"/>
        </w:rPr>
        <w:t>W</w:t>
      </w:r>
      <w:r w:rsidRPr="00074DB9">
        <w:rPr>
          <w:rFonts w:ascii="Times New Roman" w:hAnsi="Times New Roman" w:cs="Times New Roman"/>
          <w:sz w:val="24"/>
        </w:rPr>
        <w:t xml:space="preserve">eight (95% CI) </w:t>
      </w:r>
      <w:r w:rsidR="00A57B8A">
        <w:rPr>
          <w:rFonts w:ascii="Times New Roman" w:hAnsi="Times New Roman" w:cs="Times New Roman"/>
          <w:sz w:val="24"/>
        </w:rPr>
        <w:t>O</w:t>
      </w:r>
      <w:r w:rsidRPr="00074DB9">
        <w:rPr>
          <w:rFonts w:ascii="Times New Roman" w:hAnsi="Times New Roman" w:cs="Times New Roman"/>
          <w:sz w:val="24"/>
        </w:rPr>
        <w:t xml:space="preserve">verall and by </w:t>
      </w:r>
      <w:r w:rsidR="00A57B8A">
        <w:rPr>
          <w:rFonts w:ascii="Times New Roman" w:hAnsi="Times New Roman" w:cs="Times New Roman"/>
          <w:sz w:val="24"/>
        </w:rPr>
        <w:t>S</w:t>
      </w:r>
      <w:r w:rsidRPr="00074DB9">
        <w:rPr>
          <w:rFonts w:ascii="Times New Roman" w:hAnsi="Times New Roman" w:cs="Times New Roman"/>
          <w:sz w:val="24"/>
        </w:rPr>
        <w:t xml:space="preserve">ex </w:t>
      </w:r>
      <w:bookmarkEnd w:id="0"/>
    </w:p>
    <w:tbl>
      <w:tblPr>
        <w:tblStyle w:val="TableGrid1"/>
        <w:tblW w:w="92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2016"/>
        <w:gridCol w:w="2104"/>
        <w:gridCol w:w="2283"/>
      </w:tblGrid>
      <w:tr w:rsidR="0056146A" w:rsidRPr="0056146A" w14:paraId="414B5B7C" w14:textId="77777777" w:rsidTr="000012C5">
        <w:trPr>
          <w:trHeight w:val="465"/>
        </w:trPr>
        <w:tc>
          <w:tcPr>
            <w:tcW w:w="28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1DA36" w14:textId="7B34BFBD" w:rsidR="0056146A" w:rsidRPr="00074DB9" w:rsidRDefault="0056146A" w:rsidP="00561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Weight, pounds</w:t>
            </w:r>
          </w:p>
        </w:tc>
        <w:tc>
          <w:tcPr>
            <w:tcW w:w="201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D0BC8" w14:textId="31AC9D23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Enrolled</w:t>
            </w:r>
          </w:p>
        </w:tc>
        <w:tc>
          <w:tcPr>
            <w:tcW w:w="21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9BA0A" w14:textId="46151BB6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Not enrolled</w:t>
            </w:r>
          </w:p>
        </w:tc>
        <w:tc>
          <w:tcPr>
            <w:tcW w:w="2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AF36E" w14:textId="77777777" w:rsidR="0056146A" w:rsidRPr="00074DB9" w:rsidRDefault="0056146A" w:rsidP="00074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Difference:</w:t>
            </w:r>
          </w:p>
          <w:p w14:paraId="1B3E54E3" w14:textId="05976390" w:rsidR="0056146A" w:rsidRPr="00074DB9" w:rsidRDefault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Enrolled – not enrolled</w:t>
            </w:r>
          </w:p>
        </w:tc>
      </w:tr>
      <w:tr w:rsidR="0056146A" w:rsidRPr="0056146A" w14:paraId="1273EF08" w14:textId="77777777" w:rsidTr="000012C5">
        <w:trPr>
          <w:trHeight w:val="336"/>
        </w:trPr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0187C8" w14:textId="1BD336D9" w:rsidR="0056146A" w:rsidRPr="00074DB9" w:rsidRDefault="0056146A" w:rsidP="0056146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74DB9">
              <w:rPr>
                <w:rFonts w:ascii="Times New Roman" w:hAnsi="Times New Roman" w:cs="Times New Roman"/>
                <w:u w:val="single"/>
              </w:rPr>
              <w:t>Overall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C2AE10" w14:textId="77777777" w:rsidR="0056146A" w:rsidRPr="00074DB9" w:rsidRDefault="0056146A" w:rsidP="005614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9C94AE" w14:textId="77777777" w:rsidR="0056146A" w:rsidRPr="00074DB9" w:rsidRDefault="0056146A" w:rsidP="005614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007ACE" w14:textId="77777777" w:rsidR="0056146A" w:rsidRPr="00074DB9" w:rsidRDefault="0056146A" w:rsidP="005614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46A" w:rsidRPr="0056146A" w14:paraId="7DD072B0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04A5B03F" w14:textId="10EBEAC4" w:rsidR="0056146A" w:rsidRPr="00074DB9" w:rsidRDefault="0056146A" w:rsidP="0056146A">
            <w:pPr>
              <w:spacing w:after="0" w:line="240" w:lineRule="auto"/>
              <w:ind w:left="25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Absolute weight </w:t>
            </w:r>
          </w:p>
        </w:tc>
        <w:tc>
          <w:tcPr>
            <w:tcW w:w="2016" w:type="dxa"/>
            <w:shd w:val="clear" w:color="auto" w:fill="auto"/>
          </w:tcPr>
          <w:p w14:paraId="6367060D" w14:textId="77777777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auto"/>
          </w:tcPr>
          <w:p w14:paraId="025FFE2A" w14:textId="77777777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37A631C7" w14:textId="77777777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46A" w:rsidRPr="0056146A" w14:paraId="0B412E04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40CCC126" w14:textId="459A2311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Baseline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A1AA859" w14:textId="45B4AA80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219.2 (218.2, 220.3)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BB91422" w14:textId="3EFDB9EE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222.5 (222.1, 222.9)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6461FDD" w14:textId="26D2B99A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-3.2 (-4.4, -2.1)</w:t>
            </w:r>
          </w:p>
        </w:tc>
      </w:tr>
      <w:tr w:rsidR="0056146A" w:rsidRPr="0056146A" w14:paraId="02037502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5E8F02ED" w14:textId="7D271020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F703622" w14:textId="5EA28AE4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208.1 (206.5, 219.8)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ED98FBD" w14:textId="3D91CEE9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221.4 (220.9, 221.9)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B6C3A3F" w14:textId="1DBB82CF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-13.2 (-14.9, -11.6)</w:t>
            </w:r>
          </w:p>
        </w:tc>
      </w:tr>
      <w:tr w:rsidR="0056146A" w:rsidRPr="0056146A" w14:paraId="597BE6B0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59AC736A" w14:textId="3D960196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7D4915C" w14:textId="3EC7AEC9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210.6 (208.9, 212.3)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0D95DD3" w14:textId="0D891FF4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221.1 (220.6, 221.6)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DF1349A" w14:textId="609B7954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-10.5 (-12.3, -8.7)</w:t>
            </w:r>
          </w:p>
        </w:tc>
      </w:tr>
      <w:tr w:rsidR="0056146A" w:rsidRPr="0056146A" w14:paraId="39189DDF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014DD9C3" w14:textId="478A735E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2A7CFEE" w14:textId="2578AD8C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213.6 (211.8, 215.3)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AE098E2" w14:textId="21A6A9E1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219.7 (219.1, 220.3)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555D6A7" w14:textId="11CFE44C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-6.1 (-8.0, -4.3)</w:t>
            </w:r>
          </w:p>
        </w:tc>
      </w:tr>
      <w:tr w:rsidR="0056146A" w:rsidRPr="0056146A" w14:paraId="649C5681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006D4400" w14:textId="6F75FCFE" w:rsidR="0056146A" w:rsidRPr="00074DB9" w:rsidRDefault="0056146A" w:rsidP="0056146A">
            <w:pPr>
              <w:spacing w:after="0" w:line="240" w:lineRule="auto"/>
              <w:ind w:left="25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Change in weight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AD676D5" w14:textId="77777777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1099CA7C" w14:textId="77777777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76F9B4DC" w14:textId="77777777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146A" w:rsidRPr="0056146A" w14:paraId="5D8F24A5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5CAF72FF" w14:textId="1C777DC2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7 – </w:t>
            </w:r>
            <w:r>
              <w:rPr>
                <w:rFonts w:ascii="Times New Roman" w:hAnsi="Times New Roman" w:cs="Times New Roman"/>
              </w:rPr>
              <w:t>B</w:t>
            </w:r>
            <w:r w:rsidRPr="00074DB9">
              <w:rPr>
                <w:rFonts w:ascii="Times New Roman" w:hAnsi="Times New Roman" w:cs="Times New Roman"/>
              </w:rPr>
              <w:t>aseline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DB7C33" w14:textId="2F203B18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-11.1 (-12.9, -9.2)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C388904" w14:textId="0287C35E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-1.1 (-1.7, -0.5)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FED4C26" w14:textId="1FE38738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-10.0 (-11.9, -8.1)</w:t>
            </w:r>
          </w:p>
        </w:tc>
      </w:tr>
      <w:tr w:rsidR="0056146A" w:rsidRPr="0056146A" w14:paraId="232C6081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577DBBC9" w14:textId="76C730AE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12 – </w:t>
            </w:r>
            <w:r>
              <w:rPr>
                <w:rFonts w:ascii="Times New Roman" w:hAnsi="Times New Roman" w:cs="Times New Roman"/>
              </w:rPr>
              <w:t>M</w:t>
            </w:r>
            <w:r w:rsidRPr="00074DB9">
              <w:rPr>
                <w:rFonts w:ascii="Times New Roman" w:hAnsi="Times New Roman" w:cs="Times New Roman"/>
              </w:rPr>
              <w:t xml:space="preserve">onth 7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D99F2CD" w14:textId="52A36C09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2.5 (1.1, 3.8)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60461B6" w14:textId="6274739A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-0.3 (-0.8, 0.2)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12568A5" w14:textId="2883CF16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2.7 (1.3, 4.2)</w:t>
            </w:r>
          </w:p>
        </w:tc>
      </w:tr>
      <w:tr w:rsidR="0056146A" w:rsidRPr="0056146A" w14:paraId="7BEE4443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787EF12D" w14:textId="63AC474C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12 – </w:t>
            </w:r>
            <w:r>
              <w:rPr>
                <w:rFonts w:ascii="Times New Roman" w:hAnsi="Times New Roman" w:cs="Times New Roman"/>
              </w:rPr>
              <w:t>B</w:t>
            </w:r>
            <w:r w:rsidRPr="00074DB9">
              <w:rPr>
                <w:rFonts w:ascii="Times New Roman" w:hAnsi="Times New Roman" w:cs="Times New Roman"/>
              </w:rPr>
              <w:t xml:space="preserve">aseline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8F75405" w14:textId="63381350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-8.6 (-10.4, -6.8)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35F0349" w14:textId="1DBF1051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-1.3 (-1.9, -0.8)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F0DB539" w14:textId="45E1AB66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-7.3 (-9.2, -5.4)</w:t>
            </w:r>
          </w:p>
        </w:tc>
      </w:tr>
      <w:tr w:rsidR="0056146A" w:rsidRPr="0056146A" w14:paraId="798A40B7" w14:textId="77777777" w:rsidTr="000012C5">
        <w:trPr>
          <w:trHeight w:val="206"/>
        </w:trPr>
        <w:tc>
          <w:tcPr>
            <w:tcW w:w="2806" w:type="dxa"/>
            <w:shd w:val="clear" w:color="auto" w:fill="auto"/>
            <w:vAlign w:val="center"/>
          </w:tcPr>
          <w:p w14:paraId="7EBDC894" w14:textId="7D7935D4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24 – </w:t>
            </w:r>
            <w:r>
              <w:rPr>
                <w:rFonts w:ascii="Times New Roman" w:hAnsi="Times New Roman" w:cs="Times New Roman"/>
              </w:rPr>
              <w:t>B</w:t>
            </w:r>
            <w:r w:rsidRPr="00074DB9">
              <w:rPr>
                <w:rFonts w:ascii="Times New Roman" w:hAnsi="Times New Roman" w:cs="Times New Roman"/>
              </w:rPr>
              <w:t xml:space="preserve">aseline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C4DAEA" w14:textId="2E12F4B0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-5.7 (-7.6, -3.7)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80F144F" w14:textId="2841C25B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-2.8 (-3.5, -2.1)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58AD13F" w14:textId="7DC9DC4B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-2.9 (-5.0, -0.8)</w:t>
            </w:r>
          </w:p>
        </w:tc>
      </w:tr>
      <w:tr w:rsidR="00483030" w:rsidRPr="0056146A" w14:paraId="74322160" w14:textId="77777777" w:rsidTr="000012C5">
        <w:trPr>
          <w:trHeight w:val="336"/>
        </w:trPr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19CB9" w14:textId="44153523" w:rsidR="0056146A" w:rsidRPr="00074DB9" w:rsidRDefault="0056146A" w:rsidP="0056146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74DB9">
              <w:rPr>
                <w:rFonts w:ascii="Times New Roman" w:hAnsi="Times New Roman" w:cs="Times New Roman"/>
              </w:rPr>
              <w:t xml:space="preserve">           Month 24 – Month 12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642F1" w14:textId="36DCB845" w:rsidR="0056146A" w:rsidRPr="00074DB9" w:rsidRDefault="0056146A" w:rsidP="00074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3.0 (1.5, 4.5)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2FA4E" w14:textId="4C95F174" w:rsidR="0056146A" w:rsidRPr="00074DB9" w:rsidRDefault="0056146A" w:rsidP="00074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-1.4 (-2.0, -0.8)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96B9C" w14:textId="2F5CC66F" w:rsidR="0056146A" w:rsidRPr="00074DB9" w:rsidRDefault="0056146A" w:rsidP="00074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4.4 (2.8, 6.0)</w:t>
            </w:r>
          </w:p>
        </w:tc>
      </w:tr>
      <w:tr w:rsidR="0056146A" w:rsidRPr="0056146A" w14:paraId="09C188AA" w14:textId="77777777" w:rsidTr="000012C5">
        <w:trPr>
          <w:trHeight w:val="234"/>
        </w:trPr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375AAF" w14:textId="7CA45E59" w:rsidR="0056146A" w:rsidRPr="00074DB9" w:rsidRDefault="0056146A" w:rsidP="00862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u w:val="single"/>
              </w:rPr>
              <w:t>Men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9EBA52" w14:textId="77777777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5ED852" w14:textId="77777777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9D9749" w14:textId="77777777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46A" w:rsidRPr="0056146A" w14:paraId="0A9B8203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60A49DA0" w14:textId="48C465FB" w:rsidR="0056146A" w:rsidRPr="00074DB9" w:rsidRDefault="0056146A" w:rsidP="00862F1B">
            <w:pPr>
              <w:spacing w:after="0" w:line="240" w:lineRule="auto"/>
              <w:ind w:left="615" w:hanging="360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Absolute weight </w:t>
            </w:r>
          </w:p>
        </w:tc>
        <w:tc>
          <w:tcPr>
            <w:tcW w:w="2016" w:type="dxa"/>
            <w:shd w:val="clear" w:color="auto" w:fill="auto"/>
          </w:tcPr>
          <w:p w14:paraId="263FE1FC" w14:textId="31892C85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auto"/>
          </w:tcPr>
          <w:p w14:paraId="7BCD58BC" w14:textId="500C3906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0FD21C7C" w14:textId="7FF47FF4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46A" w:rsidRPr="0056146A" w14:paraId="79D44837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0AD77314" w14:textId="61DDBF9B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Baseline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6666C68" w14:textId="130C82D7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234.9 (233.8, 236.1)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25996B8" w14:textId="62042A4D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238.3 (237.7, 238.9)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1F7C884" w14:textId="54D7AEA7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-3.4 (-4.5, -2.2)</w:t>
            </w:r>
          </w:p>
        </w:tc>
      </w:tr>
      <w:tr w:rsidR="0056146A" w:rsidRPr="0056146A" w14:paraId="52F82D1B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5FE36522" w14:textId="71541EF9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1ABACA2" w14:textId="43351C49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222.8 (221.1, 224.5)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20A902E" w14:textId="583F82EC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267.9 (236.2, 237.5)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A49F993" w14:textId="178E776C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-14.1 (-15.8, -12.4)</w:t>
            </w:r>
          </w:p>
        </w:tc>
      </w:tr>
      <w:tr w:rsidR="0056146A" w:rsidRPr="0056146A" w14:paraId="256FD8C5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15E74133" w14:textId="4F881BFC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3BCF394" w14:textId="33A683C4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225.3 (223.5, 227.1)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2D95B7E" w14:textId="7432CB7D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236.6 (235.9, 237.3)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797CBBC" w14:textId="5BB570CC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-11.3 (-13.2, -9.5)</w:t>
            </w:r>
          </w:p>
        </w:tc>
      </w:tr>
      <w:tr w:rsidR="0056146A" w:rsidRPr="0056146A" w14:paraId="140DA3E6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4EDBBF81" w14:textId="5AB51BA6" w:rsidR="0056146A" w:rsidRPr="00074DB9" w:rsidRDefault="0056146A" w:rsidP="0056146A">
            <w:pPr>
              <w:spacing w:after="0" w:line="240" w:lineRule="auto"/>
              <w:ind w:left="25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      Month 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F4E8BB5" w14:textId="2C914D6B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228.3 (226.4, 230.2)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3528268" w14:textId="5D53D351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235.0 (234.2, 235.8)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F61BFF2" w14:textId="73DEB545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-6.7 (-8.6, -4.8)</w:t>
            </w:r>
          </w:p>
        </w:tc>
      </w:tr>
      <w:tr w:rsidR="0056146A" w:rsidRPr="0056146A" w14:paraId="7FF076CC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6A556121" w14:textId="70F28B77" w:rsidR="0056146A" w:rsidRPr="00074DB9" w:rsidRDefault="0056146A" w:rsidP="00074DB9">
            <w:pPr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Change in weight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87C2021" w14:textId="23DD3E1B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7CE97677" w14:textId="79A45E9B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2372A353" w14:textId="31CE677B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46A" w:rsidRPr="0056146A" w14:paraId="28ACBD07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470A7389" w14:textId="5664A73C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7 – </w:t>
            </w:r>
            <w:r>
              <w:rPr>
                <w:rFonts w:ascii="Times New Roman" w:hAnsi="Times New Roman" w:cs="Times New Roman"/>
              </w:rPr>
              <w:t>B</w:t>
            </w:r>
            <w:r w:rsidRPr="00074DB9">
              <w:rPr>
                <w:rFonts w:ascii="Times New Roman" w:hAnsi="Times New Roman" w:cs="Times New Roman"/>
              </w:rPr>
              <w:t>aseline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6FF1952" w14:textId="6E70828F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-12.1 (-14.1, -10.2)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37B54BA" w14:textId="6D4D9903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-1.4 (-2.2, -0.7)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D6E39D1" w14:textId="317EB087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-10.7 (-12.7, -8.7)</w:t>
            </w:r>
          </w:p>
        </w:tc>
      </w:tr>
      <w:tr w:rsidR="0056146A" w:rsidRPr="0056146A" w14:paraId="1D283009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05DC6E91" w14:textId="6446FD2A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12 – </w:t>
            </w:r>
            <w:r>
              <w:rPr>
                <w:rFonts w:ascii="Times New Roman" w:hAnsi="Times New Roman" w:cs="Times New Roman"/>
              </w:rPr>
              <w:t>M</w:t>
            </w:r>
            <w:r w:rsidRPr="00074DB9">
              <w:rPr>
                <w:rFonts w:ascii="Times New Roman" w:hAnsi="Times New Roman" w:cs="Times New Roman"/>
              </w:rPr>
              <w:t xml:space="preserve">onth 7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48A6CEA" w14:textId="126B1119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2.5 (1.1, 3.9)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D814EB5" w14:textId="307BA195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-0.3 (-0.9, 0.4)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4B55FC7" w14:textId="11F29F22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2.7 (1.3, 4.2)</w:t>
            </w:r>
          </w:p>
        </w:tc>
      </w:tr>
      <w:tr w:rsidR="0056146A" w:rsidRPr="0056146A" w14:paraId="6E13B25B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29C77B79" w14:textId="23CF9233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12 – </w:t>
            </w:r>
            <w:r>
              <w:rPr>
                <w:rFonts w:ascii="Times New Roman" w:hAnsi="Times New Roman" w:cs="Times New Roman"/>
              </w:rPr>
              <w:t>B</w:t>
            </w:r>
            <w:r w:rsidRPr="00074DB9">
              <w:rPr>
                <w:rFonts w:ascii="Times New Roman" w:hAnsi="Times New Roman" w:cs="Times New Roman"/>
              </w:rPr>
              <w:t xml:space="preserve">aseline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4D89F41" w14:textId="6D2886DE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-9.7 (-11.6, -7.7)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56279B2" w14:textId="46CAD268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-1.7 (-2.4, -0.9)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DE38FE3" w14:textId="6DF6BF03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-8.0 (-9.9, -6.0)</w:t>
            </w:r>
          </w:p>
        </w:tc>
      </w:tr>
      <w:tr w:rsidR="0056146A" w:rsidRPr="0056146A" w14:paraId="1AC06210" w14:textId="77777777" w:rsidTr="000012C5">
        <w:trPr>
          <w:trHeight w:val="253"/>
        </w:trPr>
        <w:tc>
          <w:tcPr>
            <w:tcW w:w="2806" w:type="dxa"/>
            <w:shd w:val="clear" w:color="auto" w:fill="auto"/>
            <w:vAlign w:val="center"/>
          </w:tcPr>
          <w:p w14:paraId="04AE446C" w14:textId="2E0AD120" w:rsidR="0056146A" w:rsidRPr="00074DB9" w:rsidRDefault="0056146A" w:rsidP="0056146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74DB9">
              <w:rPr>
                <w:rFonts w:ascii="Times New Roman" w:hAnsi="Times New Roman" w:cs="Times New Roman"/>
              </w:rPr>
              <w:t xml:space="preserve">           Month 24 – </w:t>
            </w:r>
            <w:r>
              <w:rPr>
                <w:rFonts w:ascii="Times New Roman" w:hAnsi="Times New Roman" w:cs="Times New Roman"/>
              </w:rPr>
              <w:t>B</w:t>
            </w:r>
            <w:r w:rsidRPr="00074DB9">
              <w:rPr>
                <w:rFonts w:ascii="Times New Roman" w:hAnsi="Times New Roman" w:cs="Times New Roman"/>
              </w:rPr>
              <w:t xml:space="preserve">aseline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C83A459" w14:textId="01DF7DA0" w:rsidR="0056146A" w:rsidRPr="00074DB9" w:rsidRDefault="0056146A" w:rsidP="00074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-6.7 (-8.8, -4.6)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144BE40" w14:textId="75E307C3" w:rsidR="0056146A" w:rsidRPr="00074DB9" w:rsidRDefault="0056146A" w:rsidP="00074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-3.4 (-4.2, -2.5)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54387DF" w14:textId="21ADBD3A" w:rsidR="0056146A" w:rsidRPr="00074DB9" w:rsidRDefault="0056146A" w:rsidP="00074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-3.3 (-5.5, -1.2)</w:t>
            </w:r>
          </w:p>
        </w:tc>
      </w:tr>
      <w:tr w:rsidR="0056146A" w:rsidRPr="0056146A" w14:paraId="35477C17" w14:textId="77777777" w:rsidTr="000012C5">
        <w:trPr>
          <w:trHeight w:val="74"/>
        </w:trPr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EB070" w14:textId="700575FD" w:rsidR="0056146A" w:rsidRPr="00074DB9" w:rsidRDefault="0056146A" w:rsidP="0056146A">
            <w:pPr>
              <w:spacing w:after="0" w:line="240" w:lineRule="auto"/>
              <w:ind w:left="25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      Month 24 – Month 12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3B478" w14:textId="59628BB0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3.0 (1.4, 4.5)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F3C21" w14:textId="3495B88E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-1.7 (-2.4, -0.9)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2A456" w14:textId="6ED5DC5A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4.6 (3.1, 6.2)</w:t>
            </w:r>
          </w:p>
        </w:tc>
      </w:tr>
      <w:tr w:rsidR="0056146A" w:rsidRPr="0056146A" w14:paraId="5D212CFB" w14:textId="77777777" w:rsidTr="000012C5">
        <w:trPr>
          <w:trHeight w:val="234"/>
        </w:trPr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705A25" w14:textId="1C8C620C" w:rsidR="0056146A" w:rsidRPr="00074DB9" w:rsidRDefault="0056146A" w:rsidP="00862F1B">
            <w:pPr>
              <w:spacing w:after="0" w:line="240" w:lineRule="auto"/>
              <w:ind w:left="-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u w:val="single"/>
              </w:rPr>
              <w:t>Women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3F0478" w14:textId="509A3901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9B774A" w14:textId="4789C29D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3C29EC" w14:textId="0AFBE66B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46A" w:rsidRPr="0056146A" w14:paraId="1467797B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5CC788C0" w14:textId="7CC34121" w:rsidR="0056146A" w:rsidRPr="00074DB9" w:rsidRDefault="0056146A" w:rsidP="00862F1B">
            <w:pPr>
              <w:spacing w:after="0" w:line="240" w:lineRule="auto"/>
              <w:ind w:left="260" w:hanging="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Absolute weight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DD61958" w14:textId="69A679E9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auto"/>
          </w:tcPr>
          <w:p w14:paraId="49973EE0" w14:textId="35C68E45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4A540598" w14:textId="1D4CBFDD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46A" w:rsidRPr="0056146A" w14:paraId="0DA170A2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60AC0E51" w14:textId="2469501D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Baseline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3AE20D4" w14:textId="77331F4E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206.9 (205.8, 208.0)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A2E31F8" w14:textId="7F44EB11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210.0 (209.6, 210.5)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93FBF7A" w14:textId="63ABA865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-3.1 (-4.3, -2.0)</w:t>
            </w:r>
          </w:p>
        </w:tc>
      </w:tr>
      <w:tr w:rsidR="0056146A" w:rsidRPr="0056146A" w14:paraId="0718BBAD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056AAB01" w14:textId="4B681A09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82F0905" w14:textId="73BBA1F5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196.6 (195.0, 198.3)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F7A05D7" w14:textId="61657C73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209.3 (208.7, 209.8)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73F0111" w14:textId="0D642CA3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-12.6 (-14.3, -10.9)</w:t>
            </w:r>
          </w:p>
        </w:tc>
      </w:tr>
      <w:tr w:rsidR="0056146A" w:rsidRPr="0056146A" w14:paraId="7811D2F3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5AE48ECC" w14:textId="57111772" w:rsidR="0056146A" w:rsidRPr="00074DB9" w:rsidRDefault="0056146A" w:rsidP="0056146A">
            <w:pPr>
              <w:spacing w:after="0" w:line="240" w:lineRule="auto"/>
              <w:ind w:left="25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      Month 12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D4715BC" w14:textId="44CE5716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199.1 (197.4, 200.8)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B1976CE" w14:textId="3AEFBA17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209.0 (208.4, 209.5)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AEFAECE" w14:textId="19C2C8B1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-9.9 (-11.7, -8.1)</w:t>
            </w:r>
          </w:p>
        </w:tc>
      </w:tr>
      <w:tr w:rsidR="0056146A" w:rsidRPr="0056146A" w14:paraId="340C0386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5ED6A45E" w14:textId="0A40CC81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B6CA028" w14:textId="72F224DC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202.1 (200.3, 203.8)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14921F5" w14:textId="4E7D0E5F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207.7 (207.0, 208.4)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DA87E8F" w14:textId="2E9D357E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-5.7 (-7.6, -3.8)</w:t>
            </w:r>
          </w:p>
        </w:tc>
      </w:tr>
      <w:tr w:rsidR="0056146A" w:rsidRPr="0056146A" w14:paraId="513742D4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4BF001C6" w14:textId="6019FA96" w:rsidR="0056146A" w:rsidRPr="00074DB9" w:rsidRDefault="0056146A" w:rsidP="00074DB9">
            <w:pPr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Change in weight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80D774" w14:textId="5FAF4832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56D664C4" w14:textId="6271A218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79E4950E" w14:textId="3C645D31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46A" w:rsidRPr="0056146A" w14:paraId="48C4C629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500BABE3" w14:textId="7157FEE8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7 – </w:t>
            </w:r>
            <w:r w:rsidRPr="00483030">
              <w:rPr>
                <w:rFonts w:ascii="Times New Roman" w:hAnsi="Times New Roman" w:cs="Times New Roman"/>
              </w:rPr>
              <w:t>B</w:t>
            </w:r>
            <w:r w:rsidRPr="00074DB9">
              <w:rPr>
                <w:rFonts w:ascii="Times New Roman" w:hAnsi="Times New Roman" w:cs="Times New Roman"/>
              </w:rPr>
              <w:t>aseline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ACDFA61" w14:textId="57DB0FE1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-10.3 (-12.1, -8.4)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B0B500C" w14:textId="09FCFF7C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-0.8 (-1.4, -0.2)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C0AE374" w14:textId="49E1FC3B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-9.5 (-11.4, -7.5)</w:t>
            </w:r>
          </w:p>
        </w:tc>
      </w:tr>
      <w:tr w:rsidR="0056146A" w:rsidRPr="0056146A" w14:paraId="7D63BACA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3FF2F7D3" w14:textId="7D964882" w:rsidR="0056146A" w:rsidRPr="00074DB9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12 – </w:t>
            </w:r>
            <w:r w:rsidRPr="00483030">
              <w:rPr>
                <w:rFonts w:ascii="Times New Roman" w:hAnsi="Times New Roman" w:cs="Times New Roman"/>
              </w:rPr>
              <w:t>M</w:t>
            </w:r>
            <w:r w:rsidRPr="00074DB9">
              <w:rPr>
                <w:rFonts w:ascii="Times New Roman" w:hAnsi="Times New Roman" w:cs="Times New Roman"/>
              </w:rPr>
              <w:t xml:space="preserve">onth 7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71A26D4" w14:textId="0968A4B5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2.5 (1.0, 3.9)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150704C" w14:textId="0E836270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-0.3 (-0.7, 0.2)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5F11948" w14:textId="61641C61" w:rsidR="0056146A" w:rsidRPr="00074DB9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2.7 (1.2, 4.2)</w:t>
            </w:r>
          </w:p>
        </w:tc>
      </w:tr>
      <w:tr w:rsidR="0056146A" w:rsidRPr="0056146A" w14:paraId="24208D48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4397D418" w14:textId="7DF3AD28" w:rsidR="0056146A" w:rsidRPr="00483030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12 – </w:t>
            </w:r>
            <w:r w:rsidR="00483030">
              <w:rPr>
                <w:rFonts w:ascii="Times New Roman" w:hAnsi="Times New Roman" w:cs="Times New Roman"/>
              </w:rPr>
              <w:t>B</w:t>
            </w:r>
            <w:r w:rsidRPr="00074DB9">
              <w:rPr>
                <w:rFonts w:ascii="Times New Roman" w:hAnsi="Times New Roman" w:cs="Times New Roman"/>
              </w:rPr>
              <w:t xml:space="preserve">aseline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2B06E04" w14:textId="7650A394" w:rsidR="0056146A" w:rsidRPr="00483030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-7.8 (-9.6, -6.0)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5796C5D" w14:textId="0EA048CC" w:rsidR="0056146A" w:rsidRPr="00483030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-1.1 (-1.6, -0.5)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E3F0E9E" w14:textId="36158078" w:rsidR="0056146A" w:rsidRPr="00483030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-6.7 (-8.6, -4.8)</w:t>
            </w:r>
          </w:p>
        </w:tc>
      </w:tr>
      <w:tr w:rsidR="0056146A" w:rsidRPr="0056146A" w14:paraId="6EA7291C" w14:textId="77777777" w:rsidTr="000012C5">
        <w:trPr>
          <w:trHeight w:val="234"/>
        </w:trPr>
        <w:tc>
          <w:tcPr>
            <w:tcW w:w="2806" w:type="dxa"/>
            <w:shd w:val="clear" w:color="auto" w:fill="auto"/>
            <w:vAlign w:val="center"/>
          </w:tcPr>
          <w:p w14:paraId="2AF99494" w14:textId="4FC75980" w:rsidR="0056146A" w:rsidRPr="00483030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24 – </w:t>
            </w:r>
            <w:r w:rsidR="00483030">
              <w:rPr>
                <w:rFonts w:ascii="Times New Roman" w:hAnsi="Times New Roman" w:cs="Times New Roman"/>
              </w:rPr>
              <w:t>B</w:t>
            </w:r>
            <w:r w:rsidRPr="00074DB9">
              <w:rPr>
                <w:rFonts w:ascii="Times New Roman" w:hAnsi="Times New Roman" w:cs="Times New Roman"/>
              </w:rPr>
              <w:t xml:space="preserve">aseline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3C5B833" w14:textId="5CC99218" w:rsidR="0056146A" w:rsidRPr="00483030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-4.8 (-6.8, -2.9)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3384C7B" w14:textId="3BF682B4" w:rsidR="0056146A" w:rsidRPr="00483030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-2.3 (-3.0, -1.6)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1DAB6E3" w14:textId="7B010103" w:rsidR="0056146A" w:rsidRPr="00483030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-2.5 (-4.6, -0.4)</w:t>
            </w:r>
          </w:p>
        </w:tc>
      </w:tr>
      <w:tr w:rsidR="0056146A" w:rsidRPr="0056146A" w14:paraId="523BF65C" w14:textId="77777777" w:rsidTr="000012C5">
        <w:trPr>
          <w:trHeight w:val="234"/>
        </w:trPr>
        <w:tc>
          <w:tcPr>
            <w:tcW w:w="28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7F1E1D" w14:textId="7090D72F" w:rsidR="0056146A" w:rsidRPr="00483030" w:rsidRDefault="0056146A" w:rsidP="0056146A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24 – Month 12</w:t>
            </w:r>
          </w:p>
        </w:tc>
        <w:tc>
          <w:tcPr>
            <w:tcW w:w="20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B3305A" w14:textId="7F9C1317" w:rsidR="0056146A" w:rsidRPr="00483030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2.9 (1.4, 4.5)</w:t>
            </w:r>
          </w:p>
        </w:tc>
        <w:tc>
          <w:tcPr>
            <w:tcW w:w="21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52C32A" w14:textId="219564A6" w:rsidR="0056146A" w:rsidRPr="00483030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-1.2 (-1.8, -0.7)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15ED43" w14:textId="7B43018D" w:rsidR="0056146A" w:rsidRPr="00483030" w:rsidRDefault="0056146A" w:rsidP="00561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4.2 (2.5, 5.9)</w:t>
            </w:r>
          </w:p>
        </w:tc>
      </w:tr>
    </w:tbl>
    <w:p w14:paraId="7601DD34" w14:textId="48FAFF86" w:rsidR="00954643" w:rsidRPr="00074DB9" w:rsidRDefault="00954643" w:rsidP="009546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DB9">
        <w:rPr>
          <w:rFonts w:ascii="Times New Roman" w:hAnsi="Times New Roman" w:cs="Times New Roman"/>
          <w:sz w:val="20"/>
          <w:szCs w:val="20"/>
        </w:rPr>
        <w:t xml:space="preserve">*Estimates (95% CIs) are marginal weights from a mixed effects model, with time since baseline modeled using a linear spline with </w:t>
      </w:r>
      <w:r w:rsidR="00C20CE1">
        <w:rPr>
          <w:rFonts w:ascii="Times New Roman" w:hAnsi="Times New Roman" w:cs="Times New Roman"/>
          <w:sz w:val="20"/>
          <w:szCs w:val="20"/>
        </w:rPr>
        <w:t>two</w:t>
      </w:r>
      <w:r w:rsidRPr="00074DB9">
        <w:rPr>
          <w:rFonts w:ascii="Times New Roman" w:hAnsi="Times New Roman" w:cs="Times New Roman"/>
          <w:sz w:val="20"/>
          <w:szCs w:val="20"/>
        </w:rPr>
        <w:t xml:space="preserve"> knot</w:t>
      </w:r>
      <w:r w:rsidR="000012C5">
        <w:rPr>
          <w:rFonts w:ascii="Times New Roman" w:hAnsi="Times New Roman" w:cs="Times New Roman"/>
          <w:sz w:val="20"/>
          <w:szCs w:val="20"/>
        </w:rPr>
        <w:t>s</w:t>
      </w:r>
      <w:r w:rsidRPr="00074DB9">
        <w:rPr>
          <w:rFonts w:ascii="Times New Roman" w:hAnsi="Times New Roman" w:cs="Times New Roman"/>
          <w:sz w:val="20"/>
          <w:szCs w:val="20"/>
        </w:rPr>
        <w:t xml:space="preserve"> at 7 months</w:t>
      </w:r>
      <w:r w:rsidR="00C20CE1">
        <w:rPr>
          <w:rFonts w:ascii="Times New Roman" w:hAnsi="Times New Roman" w:cs="Times New Roman"/>
          <w:sz w:val="20"/>
          <w:szCs w:val="20"/>
        </w:rPr>
        <w:t xml:space="preserve"> and 12 months</w:t>
      </w:r>
      <w:r w:rsidRPr="00074DB9">
        <w:rPr>
          <w:rFonts w:ascii="Times New Roman" w:hAnsi="Times New Roman" w:cs="Times New Roman"/>
          <w:sz w:val="20"/>
          <w:szCs w:val="20"/>
        </w:rPr>
        <w:t xml:space="preserve">. The model includes a random intercept and </w:t>
      </w:r>
      <w:r w:rsidR="00C20CE1">
        <w:rPr>
          <w:rFonts w:ascii="Times New Roman" w:hAnsi="Times New Roman" w:cs="Times New Roman"/>
          <w:sz w:val="20"/>
          <w:szCs w:val="20"/>
        </w:rPr>
        <w:t>3</w:t>
      </w:r>
      <w:r w:rsidRPr="00074DB9">
        <w:rPr>
          <w:rFonts w:ascii="Times New Roman" w:hAnsi="Times New Roman" w:cs="Times New Roman"/>
          <w:sz w:val="20"/>
          <w:szCs w:val="20"/>
        </w:rPr>
        <w:t xml:space="preserve"> random slopes (one for each time spline term); we used unstructured correlation structure for the random effects. The model was adjusted for age, race (white; non-white), exercise status (no exercise; </w:t>
      </w:r>
      <w:r w:rsidR="00D72FDC" w:rsidRPr="00074DB9">
        <w:rPr>
          <w:rFonts w:ascii="Times New Roman" w:hAnsi="Times New Roman" w:cs="Times New Roman"/>
          <w:sz w:val="20"/>
          <w:szCs w:val="20"/>
        </w:rPr>
        <w:t>1</w:t>
      </w:r>
      <w:r w:rsidRPr="00074DB9">
        <w:rPr>
          <w:rFonts w:ascii="Times New Roman" w:hAnsi="Times New Roman" w:cs="Times New Roman"/>
          <w:sz w:val="20"/>
          <w:szCs w:val="20"/>
        </w:rPr>
        <w:t>0-1</w:t>
      </w:r>
      <w:r w:rsidR="00D72FDC" w:rsidRPr="00074DB9">
        <w:rPr>
          <w:rFonts w:ascii="Times New Roman" w:hAnsi="Times New Roman" w:cs="Times New Roman"/>
          <w:sz w:val="20"/>
          <w:szCs w:val="20"/>
        </w:rPr>
        <w:t>4</w:t>
      </w:r>
      <w:r w:rsidRPr="00074DB9">
        <w:rPr>
          <w:rFonts w:ascii="Times New Roman" w:hAnsi="Times New Roman" w:cs="Times New Roman"/>
          <w:sz w:val="20"/>
          <w:szCs w:val="20"/>
        </w:rPr>
        <w:t xml:space="preserve">0 minutes per week; ≥150minutes per week; </w:t>
      </w:r>
      <w:r w:rsidR="00D72FDC" w:rsidRPr="00074DB9">
        <w:rPr>
          <w:rFonts w:ascii="Times New Roman" w:hAnsi="Times New Roman" w:cs="Times New Roman"/>
          <w:sz w:val="20"/>
          <w:szCs w:val="20"/>
        </w:rPr>
        <w:t>missing</w:t>
      </w:r>
      <w:r w:rsidRPr="00074DB9">
        <w:rPr>
          <w:rFonts w:ascii="Times New Roman" w:hAnsi="Times New Roman" w:cs="Times New Roman"/>
          <w:sz w:val="20"/>
          <w:szCs w:val="20"/>
        </w:rPr>
        <w:t xml:space="preserve">), </w:t>
      </w:r>
      <w:r w:rsidR="00D72FDC" w:rsidRPr="00074DB9">
        <w:rPr>
          <w:rFonts w:ascii="Times New Roman" w:hAnsi="Times New Roman" w:cs="Times New Roman"/>
          <w:sz w:val="20"/>
          <w:szCs w:val="20"/>
        </w:rPr>
        <w:t>C</w:t>
      </w:r>
      <w:r w:rsidRPr="00074DB9">
        <w:rPr>
          <w:rFonts w:ascii="Times New Roman" w:hAnsi="Times New Roman" w:cs="Times New Roman"/>
          <w:sz w:val="20"/>
          <w:szCs w:val="20"/>
        </w:rPr>
        <w:t xml:space="preserve">harlson index (0, 1, 2, or 3+ comorbidities), tobacco use (current; former; never), </w:t>
      </w:r>
      <w:r w:rsidR="00D72FDC" w:rsidRPr="00130A4B">
        <w:rPr>
          <w:rFonts w:ascii="Times New Roman" w:hAnsi="Times New Roman" w:cs="Times New Roman"/>
          <w:sz w:val="20"/>
          <w:szCs w:val="20"/>
        </w:rPr>
        <w:t xml:space="preserve">neighborhood </w:t>
      </w:r>
      <w:r w:rsidRPr="00130A4B">
        <w:rPr>
          <w:rFonts w:ascii="Times New Roman" w:hAnsi="Times New Roman" w:cs="Times New Roman"/>
          <w:sz w:val="20"/>
          <w:szCs w:val="20"/>
        </w:rPr>
        <w:t xml:space="preserve">percent high school or less, </w:t>
      </w:r>
      <w:r w:rsidR="00D72FDC" w:rsidRPr="00A1054E">
        <w:rPr>
          <w:rFonts w:ascii="Times New Roman" w:hAnsi="Times New Roman" w:cs="Times New Roman"/>
          <w:sz w:val="20"/>
          <w:szCs w:val="20"/>
        </w:rPr>
        <w:t xml:space="preserve">neighborhood </w:t>
      </w:r>
      <w:r w:rsidRPr="00A1054E">
        <w:rPr>
          <w:rFonts w:ascii="Times New Roman" w:hAnsi="Times New Roman" w:cs="Times New Roman"/>
          <w:sz w:val="20"/>
          <w:szCs w:val="20"/>
        </w:rPr>
        <w:t>medi</w:t>
      </w:r>
      <w:r w:rsidR="00D72FDC" w:rsidRPr="00A1054E">
        <w:rPr>
          <w:rFonts w:ascii="Times New Roman" w:hAnsi="Times New Roman" w:cs="Times New Roman"/>
          <w:sz w:val="20"/>
          <w:szCs w:val="20"/>
        </w:rPr>
        <w:t>an</w:t>
      </w:r>
      <w:r w:rsidRPr="00A1054E">
        <w:rPr>
          <w:rFonts w:ascii="Times New Roman" w:hAnsi="Times New Roman" w:cs="Times New Roman"/>
          <w:sz w:val="20"/>
          <w:szCs w:val="20"/>
        </w:rPr>
        <w:t xml:space="preserve"> house</w:t>
      </w:r>
      <w:r w:rsidR="00D72FDC" w:rsidRPr="00A1054E">
        <w:rPr>
          <w:rFonts w:ascii="Times New Roman" w:hAnsi="Times New Roman" w:cs="Times New Roman"/>
          <w:sz w:val="20"/>
          <w:szCs w:val="20"/>
        </w:rPr>
        <w:t>hold</w:t>
      </w:r>
      <w:r w:rsidRPr="00A1054E">
        <w:rPr>
          <w:rFonts w:ascii="Times New Roman" w:hAnsi="Times New Roman" w:cs="Times New Roman"/>
          <w:sz w:val="20"/>
          <w:szCs w:val="20"/>
        </w:rPr>
        <w:t xml:space="preserve"> income, estimated propensity score for enrolling in DPP online, baseline weight, mental health diagnosis in</w:t>
      </w:r>
      <w:r w:rsidRPr="00130A4B">
        <w:rPr>
          <w:rFonts w:ascii="Times New Roman" w:hAnsi="Times New Roman" w:cs="Times New Roman"/>
          <w:sz w:val="20"/>
          <w:szCs w:val="20"/>
        </w:rPr>
        <w:t xml:space="preserve"> the past year (yes/no), metformin use. The model also include</w:t>
      </w:r>
      <w:r w:rsidR="00130A4B">
        <w:rPr>
          <w:rFonts w:ascii="Times New Roman" w:hAnsi="Times New Roman" w:cs="Times New Roman"/>
          <w:sz w:val="20"/>
          <w:szCs w:val="20"/>
        </w:rPr>
        <w:t>s</w:t>
      </w:r>
      <w:r w:rsidR="00130A4B" w:rsidRPr="00130A4B">
        <w:rPr>
          <w:rFonts w:ascii="Times New Roman" w:hAnsi="Times New Roman" w:cs="Times New Roman"/>
          <w:sz w:val="20"/>
          <w:szCs w:val="20"/>
        </w:rPr>
        <w:t xml:space="preserve"> a</w:t>
      </w:r>
      <w:r w:rsidRPr="00130A4B">
        <w:rPr>
          <w:rFonts w:ascii="Times New Roman" w:hAnsi="Times New Roman" w:cs="Times New Roman"/>
          <w:sz w:val="20"/>
          <w:szCs w:val="20"/>
        </w:rPr>
        <w:t xml:space="preserve"> </w:t>
      </w:r>
      <w:r w:rsidR="00130A4B" w:rsidRPr="00501B0F">
        <w:rPr>
          <w:rFonts w:ascii="Times New Roman" w:hAnsi="Times New Roman" w:cs="Times New Roman"/>
          <w:sz w:val="20"/>
          <w:szCs w:val="20"/>
        </w:rPr>
        <w:t xml:space="preserve">two-way interaction term between time and digital DPP enrollment status, a two-way interaction </w:t>
      </w:r>
      <w:r w:rsidR="00130A4B">
        <w:rPr>
          <w:rFonts w:ascii="Times New Roman" w:hAnsi="Times New Roman" w:cs="Times New Roman"/>
          <w:sz w:val="20"/>
          <w:szCs w:val="20"/>
        </w:rPr>
        <w:t>of</w:t>
      </w:r>
      <w:r w:rsidR="00130A4B" w:rsidRPr="00501B0F">
        <w:rPr>
          <w:rFonts w:ascii="Times New Roman" w:hAnsi="Times New Roman" w:cs="Times New Roman"/>
          <w:sz w:val="20"/>
          <w:szCs w:val="20"/>
        </w:rPr>
        <w:t xml:space="preserve"> time by weight at enrollment</w:t>
      </w:r>
      <w:r w:rsidR="00130A4B">
        <w:rPr>
          <w:rFonts w:ascii="Times New Roman" w:hAnsi="Times New Roman" w:cs="Times New Roman"/>
          <w:sz w:val="20"/>
          <w:szCs w:val="20"/>
        </w:rPr>
        <w:t>,</w:t>
      </w:r>
      <w:r w:rsidR="00130A4B" w:rsidRPr="00501B0F">
        <w:rPr>
          <w:rFonts w:ascii="Times New Roman" w:hAnsi="Times New Roman" w:cs="Times New Roman"/>
          <w:sz w:val="20"/>
          <w:szCs w:val="20"/>
        </w:rPr>
        <w:t xml:space="preserve"> and a three-way interaction</w:t>
      </w:r>
      <w:r w:rsidR="00130A4B">
        <w:rPr>
          <w:rFonts w:ascii="Times New Roman" w:hAnsi="Times New Roman" w:cs="Times New Roman"/>
          <w:sz w:val="20"/>
          <w:szCs w:val="20"/>
        </w:rPr>
        <w:t xml:space="preserve"> of </w:t>
      </w:r>
      <w:r w:rsidR="00130A4B" w:rsidRPr="00501B0F">
        <w:rPr>
          <w:rFonts w:ascii="Times New Roman" w:hAnsi="Times New Roman" w:cs="Times New Roman"/>
          <w:sz w:val="20"/>
          <w:szCs w:val="20"/>
        </w:rPr>
        <w:t xml:space="preserve">time by mental health condition at baseline by enrollment </w:t>
      </w:r>
      <w:r w:rsidR="00130A4B" w:rsidRPr="00501B0F">
        <w:rPr>
          <w:rFonts w:ascii="Times New Roman" w:hAnsi="Times New Roman" w:cs="Times New Roman"/>
          <w:sz w:val="20"/>
          <w:szCs w:val="20"/>
        </w:rPr>
        <w:lastRenderedPageBreak/>
        <w:t>status</w:t>
      </w:r>
      <w:r w:rsidRPr="00130A4B">
        <w:rPr>
          <w:rFonts w:ascii="Times New Roman" w:hAnsi="Times New Roman" w:cs="Times New Roman"/>
          <w:sz w:val="20"/>
          <w:szCs w:val="20"/>
        </w:rPr>
        <w:t>. All covariates were held constant at their means (overall means, or sex-specific means) to estimate marginal weights o</w:t>
      </w:r>
      <w:r w:rsidRPr="00074DB9">
        <w:rPr>
          <w:rFonts w:ascii="Times New Roman" w:hAnsi="Times New Roman" w:cs="Times New Roman"/>
          <w:sz w:val="20"/>
          <w:szCs w:val="20"/>
        </w:rPr>
        <w:t>verall and for men and women at the time points shown in the table.</w:t>
      </w:r>
      <w:bookmarkEnd w:id="1"/>
      <w:r w:rsidRPr="00074D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7B515B" w14:textId="2BF1D088" w:rsidR="00FA241F" w:rsidRPr="00074DB9" w:rsidRDefault="00FA241F" w:rsidP="00074DB9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br w:type="page"/>
      </w:r>
      <w:r w:rsidR="00657A78" w:rsidRPr="00074D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lastRenderedPageBreak/>
        <w:t>Supplementa</w:t>
      </w:r>
      <w:r w:rsidR="004771F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ry</w:t>
      </w:r>
      <w:r w:rsidR="00657A78" w:rsidRPr="00074D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Pr="00074D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Table </w:t>
      </w:r>
      <w:r w:rsidR="004771F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</w:t>
      </w:r>
      <w:r w:rsidR="00657A78" w:rsidRPr="00074D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</w:t>
      </w:r>
      <w:r w:rsidRPr="00074D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. Estimated* </w:t>
      </w:r>
      <w:r w:rsidR="00483030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</w:t>
      </w:r>
      <w:r w:rsidRPr="00074D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ercent </w:t>
      </w:r>
      <w:r w:rsidR="00483030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C</w:t>
      </w:r>
      <w:r w:rsidRPr="00074D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hange in </w:t>
      </w:r>
      <w:r w:rsidR="00483030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W</w:t>
      </w:r>
      <w:r w:rsidRPr="00074D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eight (95% CI) </w:t>
      </w:r>
      <w:r w:rsidR="00483030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O</w:t>
      </w:r>
      <w:r w:rsidRPr="00074D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ver </w:t>
      </w:r>
      <w:r w:rsidR="00483030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</w:t>
      </w:r>
      <w:r w:rsidRPr="00074D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ime by </w:t>
      </w:r>
      <w:r w:rsidR="00483030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D</w:t>
      </w:r>
      <w:r w:rsidR="00483030" w:rsidRPr="00074D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igital </w:t>
      </w:r>
      <w:r w:rsidRPr="00074D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DPP </w:t>
      </w:r>
      <w:r w:rsidR="00483030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E</w:t>
      </w:r>
      <w:r w:rsidRPr="00074D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nrollment </w:t>
      </w:r>
      <w:r w:rsidR="00483030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</w:t>
      </w:r>
      <w:r w:rsidRPr="00074D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tatus</w:t>
      </w:r>
    </w:p>
    <w:tbl>
      <w:tblPr>
        <w:tblStyle w:val="TableGrid2"/>
        <w:tblW w:w="95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2160"/>
        <w:gridCol w:w="2345"/>
      </w:tblGrid>
      <w:tr w:rsidR="00FA241F" w:rsidRPr="00483030" w14:paraId="5263CD81" w14:textId="77777777" w:rsidTr="00590EDE"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ECF37E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45DDAC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Enrolled in </w:t>
            </w:r>
          </w:p>
          <w:p w14:paraId="7455F276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DPP online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43970C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Not enrolled in </w:t>
            </w:r>
          </w:p>
          <w:p w14:paraId="5C067CB4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DPP online</w:t>
            </w:r>
          </w:p>
        </w:tc>
        <w:tc>
          <w:tcPr>
            <w:tcW w:w="23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EADAF5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Difference:</w:t>
            </w:r>
          </w:p>
          <w:p w14:paraId="6FDED379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Enrolled – not enrolled</w:t>
            </w:r>
          </w:p>
        </w:tc>
      </w:tr>
      <w:tr w:rsidR="00FA241F" w:rsidRPr="00483030" w14:paraId="7C214BE7" w14:textId="77777777" w:rsidTr="00590EDE">
        <w:trPr>
          <w:trHeight w:val="246"/>
        </w:trPr>
        <w:tc>
          <w:tcPr>
            <w:tcW w:w="2880" w:type="dxa"/>
            <w:hideMark/>
          </w:tcPr>
          <w:p w14:paraId="59CFB424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Estimated % weight change</w:t>
            </w:r>
          </w:p>
        </w:tc>
        <w:tc>
          <w:tcPr>
            <w:tcW w:w="2160" w:type="dxa"/>
            <w:vAlign w:val="center"/>
          </w:tcPr>
          <w:p w14:paraId="103EA099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4DA3C70D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vAlign w:val="center"/>
          </w:tcPr>
          <w:p w14:paraId="1F1823C7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41F" w:rsidRPr="00483030" w14:paraId="2458AE7D" w14:textId="77777777" w:rsidTr="00590EDE">
        <w:trPr>
          <w:trHeight w:val="246"/>
        </w:trPr>
        <w:tc>
          <w:tcPr>
            <w:tcW w:w="2880" w:type="dxa"/>
            <w:hideMark/>
          </w:tcPr>
          <w:p w14:paraId="2469C91E" w14:textId="0000DCC2" w:rsidR="00FA241F" w:rsidRPr="00074DB9" w:rsidRDefault="00FA241F" w:rsidP="00FA241F">
            <w:pPr>
              <w:spacing w:after="0" w:line="240" w:lineRule="auto"/>
              <w:ind w:left="34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7 – </w:t>
            </w:r>
            <w:r w:rsidR="00483030" w:rsidRPr="00074DB9">
              <w:rPr>
                <w:rFonts w:ascii="Times New Roman" w:hAnsi="Times New Roman" w:cs="Times New Roman"/>
              </w:rPr>
              <w:t>B</w:t>
            </w:r>
            <w:r w:rsidRPr="00074DB9">
              <w:rPr>
                <w:rFonts w:ascii="Times New Roman" w:hAnsi="Times New Roman" w:cs="Times New Roman"/>
              </w:rPr>
              <w:t>aseline</w:t>
            </w:r>
          </w:p>
        </w:tc>
        <w:tc>
          <w:tcPr>
            <w:tcW w:w="2160" w:type="dxa"/>
            <w:vAlign w:val="center"/>
          </w:tcPr>
          <w:p w14:paraId="09554278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-4.7% (-5.5, -3.9)</w:t>
            </w:r>
          </w:p>
        </w:tc>
        <w:tc>
          <w:tcPr>
            <w:tcW w:w="2160" w:type="dxa"/>
            <w:vAlign w:val="center"/>
          </w:tcPr>
          <w:p w14:paraId="26E39C69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-0.4% (-0.6, -0.1)</w:t>
            </w:r>
          </w:p>
        </w:tc>
        <w:tc>
          <w:tcPr>
            <w:tcW w:w="2345" w:type="dxa"/>
            <w:vAlign w:val="center"/>
          </w:tcPr>
          <w:p w14:paraId="04F41F12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-4.3% (-5.2, -3.5)</w:t>
            </w:r>
          </w:p>
        </w:tc>
      </w:tr>
      <w:tr w:rsidR="00FA241F" w:rsidRPr="00483030" w14:paraId="06002589" w14:textId="77777777" w:rsidTr="00590EDE">
        <w:trPr>
          <w:trHeight w:val="246"/>
        </w:trPr>
        <w:tc>
          <w:tcPr>
            <w:tcW w:w="2880" w:type="dxa"/>
            <w:hideMark/>
          </w:tcPr>
          <w:p w14:paraId="792AA6AE" w14:textId="3C21A045" w:rsidR="00FA241F" w:rsidRPr="00074DB9" w:rsidRDefault="00FA241F" w:rsidP="00FA241F">
            <w:pPr>
              <w:spacing w:after="0" w:line="240" w:lineRule="auto"/>
              <w:ind w:left="34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12 – </w:t>
            </w:r>
            <w:r w:rsidR="00483030" w:rsidRPr="00074DB9">
              <w:rPr>
                <w:rFonts w:ascii="Times New Roman" w:hAnsi="Times New Roman" w:cs="Times New Roman"/>
              </w:rPr>
              <w:t>B</w:t>
            </w:r>
            <w:r w:rsidRPr="00074DB9">
              <w:rPr>
                <w:rFonts w:ascii="Times New Roman" w:hAnsi="Times New Roman" w:cs="Times New Roman"/>
              </w:rPr>
              <w:t xml:space="preserve">aseline </w:t>
            </w:r>
          </w:p>
        </w:tc>
        <w:tc>
          <w:tcPr>
            <w:tcW w:w="2160" w:type="dxa"/>
            <w:vAlign w:val="center"/>
          </w:tcPr>
          <w:p w14:paraId="74496708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-4.0% (-4.8, -3.2)</w:t>
            </w:r>
          </w:p>
        </w:tc>
        <w:tc>
          <w:tcPr>
            <w:tcW w:w="2160" w:type="dxa"/>
            <w:vAlign w:val="center"/>
          </w:tcPr>
          <w:p w14:paraId="3F0287A1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-0.6% (-0.8, -0.4)</w:t>
            </w:r>
          </w:p>
        </w:tc>
        <w:tc>
          <w:tcPr>
            <w:tcW w:w="2345" w:type="dxa"/>
            <w:vAlign w:val="center"/>
          </w:tcPr>
          <w:p w14:paraId="5F1A10B7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-3.4% (-4.2, -2.6)</w:t>
            </w:r>
          </w:p>
        </w:tc>
      </w:tr>
      <w:tr w:rsidR="00FA241F" w:rsidRPr="00483030" w14:paraId="62A7E4ED" w14:textId="77777777" w:rsidTr="00590EDE">
        <w:trPr>
          <w:trHeight w:val="246"/>
        </w:trPr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AC9F35" w14:textId="710E4DD5" w:rsidR="00FA241F" w:rsidRPr="00074DB9" w:rsidRDefault="00FA241F" w:rsidP="00FA241F">
            <w:pPr>
              <w:spacing w:after="0" w:line="240" w:lineRule="auto"/>
              <w:ind w:left="34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24 – </w:t>
            </w:r>
            <w:r w:rsidR="00483030" w:rsidRPr="00074DB9">
              <w:rPr>
                <w:rFonts w:ascii="Times New Roman" w:hAnsi="Times New Roman" w:cs="Times New Roman"/>
              </w:rPr>
              <w:t>B</w:t>
            </w:r>
            <w:r w:rsidRPr="00074DB9">
              <w:rPr>
                <w:rFonts w:ascii="Times New Roman" w:hAnsi="Times New Roman" w:cs="Times New Roman"/>
              </w:rPr>
              <w:t xml:space="preserve">aseline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649510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-2.3% (-3.2, -1.4)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B7545D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-1.1% (-1.4, -0.8)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2C4D8C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-1.2% (-2.1, -0.2)</w:t>
            </w:r>
          </w:p>
        </w:tc>
      </w:tr>
    </w:tbl>
    <w:p w14:paraId="5E0635AE" w14:textId="3050B7F1" w:rsidR="00FA241F" w:rsidRPr="00074DB9" w:rsidRDefault="00FA241F" w:rsidP="00FA24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4DB9">
        <w:rPr>
          <w:rFonts w:ascii="Times New Roman" w:hAnsi="Times New Roman" w:cs="Times New Roman"/>
          <w:sz w:val="20"/>
          <w:szCs w:val="20"/>
        </w:rPr>
        <w:t xml:space="preserve">* Estimates (95% CIs) are marginal weights from a mixed effects model, with time since baseline modeled using a linear spline with a knot at 7 months. The outcome in this model is percent weight change from baseline, calculated as the (weight at follow-up – baseline weight)/(baseline weight). The model includes a random intercept and 2 random slopes (one for each time spline term); we used unstructured correlation structure for the random effects. The model was adjusted for age, race (white; non-white), exercise status </w:t>
      </w:r>
      <w:r w:rsidR="00483030" w:rsidRPr="00483030">
        <w:rPr>
          <w:rFonts w:ascii="Times New Roman" w:hAnsi="Times New Roman" w:cs="Times New Roman"/>
          <w:sz w:val="20"/>
          <w:szCs w:val="20"/>
        </w:rPr>
        <w:t>(no exercise; 10-140 minutes per week; ≥150minutes per week; missing), Charlson index</w:t>
      </w:r>
      <w:r w:rsidR="00483030" w:rsidRPr="00074DB9" w:rsidDel="00483030">
        <w:rPr>
          <w:rFonts w:ascii="Times New Roman" w:hAnsi="Times New Roman" w:cs="Times New Roman"/>
          <w:sz w:val="20"/>
          <w:szCs w:val="20"/>
        </w:rPr>
        <w:t xml:space="preserve"> </w:t>
      </w:r>
      <w:r w:rsidRPr="00074DB9">
        <w:rPr>
          <w:rFonts w:ascii="Times New Roman" w:hAnsi="Times New Roman" w:cs="Times New Roman"/>
          <w:sz w:val="20"/>
          <w:szCs w:val="20"/>
        </w:rPr>
        <w:t xml:space="preserve">(0, 1, 2, or 3+ comorbidities), tobacco use (current; former; never), </w:t>
      </w:r>
      <w:r w:rsidR="00483030" w:rsidRPr="00074DB9">
        <w:rPr>
          <w:rFonts w:ascii="Times New Roman" w:hAnsi="Times New Roman" w:cs="Times New Roman"/>
          <w:sz w:val="20"/>
          <w:szCs w:val="20"/>
        </w:rPr>
        <w:t xml:space="preserve">neighborhood </w:t>
      </w:r>
      <w:r w:rsidRPr="00074DB9">
        <w:rPr>
          <w:rFonts w:ascii="Times New Roman" w:hAnsi="Times New Roman" w:cs="Times New Roman"/>
          <w:sz w:val="20"/>
          <w:szCs w:val="20"/>
        </w:rPr>
        <w:t>percent high school or less,</w:t>
      </w:r>
      <w:r w:rsidR="00483030" w:rsidRPr="00074DB9">
        <w:rPr>
          <w:rFonts w:ascii="Times New Roman" w:hAnsi="Times New Roman" w:cs="Times New Roman"/>
          <w:sz w:val="20"/>
          <w:szCs w:val="20"/>
        </w:rPr>
        <w:t xml:space="preserve"> neighborhood</w:t>
      </w:r>
      <w:r w:rsidRPr="00074DB9">
        <w:rPr>
          <w:rFonts w:ascii="Times New Roman" w:hAnsi="Times New Roman" w:cs="Times New Roman"/>
          <w:sz w:val="20"/>
          <w:szCs w:val="20"/>
        </w:rPr>
        <w:t xml:space="preserve"> medi</w:t>
      </w:r>
      <w:r w:rsidR="00483030" w:rsidRPr="00074DB9">
        <w:rPr>
          <w:rFonts w:ascii="Times New Roman" w:hAnsi="Times New Roman" w:cs="Times New Roman"/>
          <w:sz w:val="20"/>
          <w:szCs w:val="20"/>
        </w:rPr>
        <w:t>an</w:t>
      </w:r>
      <w:r w:rsidRPr="00074DB9">
        <w:rPr>
          <w:rFonts w:ascii="Times New Roman" w:hAnsi="Times New Roman" w:cs="Times New Roman"/>
          <w:sz w:val="20"/>
          <w:szCs w:val="20"/>
        </w:rPr>
        <w:t xml:space="preserve"> house</w:t>
      </w:r>
      <w:r w:rsidR="00483030" w:rsidRPr="00074DB9">
        <w:rPr>
          <w:rFonts w:ascii="Times New Roman" w:hAnsi="Times New Roman" w:cs="Times New Roman"/>
          <w:sz w:val="20"/>
          <w:szCs w:val="20"/>
        </w:rPr>
        <w:t>hold</w:t>
      </w:r>
      <w:r w:rsidRPr="00074DB9">
        <w:rPr>
          <w:rFonts w:ascii="Times New Roman" w:hAnsi="Times New Roman" w:cs="Times New Roman"/>
          <w:sz w:val="20"/>
          <w:szCs w:val="20"/>
        </w:rPr>
        <w:t xml:space="preserve"> income, estimated propensity score for enrolling in DPP online, baseline weight, mental health diagnosis in the past year (yes/no), metformin use. The model also include</w:t>
      </w:r>
      <w:r w:rsidR="00433E7B">
        <w:rPr>
          <w:rFonts w:ascii="Times New Roman" w:hAnsi="Times New Roman" w:cs="Times New Roman"/>
          <w:sz w:val="20"/>
          <w:szCs w:val="20"/>
        </w:rPr>
        <w:t>s</w:t>
      </w:r>
      <w:r w:rsidRPr="00074DB9">
        <w:rPr>
          <w:rFonts w:ascii="Times New Roman" w:hAnsi="Times New Roman" w:cs="Times New Roman"/>
          <w:sz w:val="20"/>
          <w:szCs w:val="20"/>
        </w:rPr>
        <w:t xml:space="preserve"> two-way interactions between each time spline with baseline weight</w:t>
      </w:r>
      <w:r w:rsidR="00483030">
        <w:rPr>
          <w:rFonts w:ascii="Times New Roman" w:hAnsi="Times New Roman" w:cs="Times New Roman"/>
          <w:sz w:val="20"/>
          <w:szCs w:val="20"/>
        </w:rPr>
        <w:t xml:space="preserve">, sex, </w:t>
      </w:r>
      <w:r w:rsidRPr="00074DB9">
        <w:rPr>
          <w:rFonts w:ascii="Times New Roman" w:hAnsi="Times New Roman" w:cs="Times New Roman"/>
          <w:sz w:val="20"/>
          <w:szCs w:val="20"/>
        </w:rPr>
        <w:t>and DPP online enrollment status</w:t>
      </w:r>
      <w:r w:rsidR="00483030">
        <w:rPr>
          <w:rFonts w:ascii="Times New Roman" w:hAnsi="Times New Roman" w:cs="Times New Roman"/>
          <w:sz w:val="20"/>
          <w:szCs w:val="20"/>
        </w:rPr>
        <w:t xml:space="preserve">. </w:t>
      </w:r>
      <w:r w:rsidRPr="00074DB9">
        <w:rPr>
          <w:rFonts w:ascii="Times New Roman" w:hAnsi="Times New Roman" w:cs="Times New Roman"/>
          <w:sz w:val="20"/>
          <w:szCs w:val="20"/>
        </w:rPr>
        <w:t>All covariates were held constant at their means (overall means) to estimate marginal percent weight change</w:t>
      </w:r>
      <w:r w:rsidR="00483030">
        <w:rPr>
          <w:rFonts w:ascii="Times New Roman" w:hAnsi="Times New Roman" w:cs="Times New Roman"/>
          <w:sz w:val="20"/>
          <w:szCs w:val="20"/>
        </w:rPr>
        <w:t>.</w:t>
      </w:r>
      <w:r w:rsidRPr="00074DB9">
        <w:rPr>
          <w:rFonts w:ascii="Arial" w:hAnsi="Arial" w:cs="Arial"/>
          <w:sz w:val="20"/>
          <w:szCs w:val="20"/>
        </w:rPr>
        <w:t xml:space="preserve"> </w:t>
      </w:r>
    </w:p>
    <w:p w14:paraId="2F464F65" w14:textId="77777777" w:rsidR="00FA241F" w:rsidRPr="00F57E31" w:rsidRDefault="00FA241F" w:rsidP="00FA241F">
      <w:pPr>
        <w:spacing w:after="0" w:line="240" w:lineRule="auto"/>
        <w:rPr>
          <w:rFonts w:ascii="Arial" w:eastAsiaTheme="majorEastAsia" w:hAnsi="Arial" w:cs="Arial"/>
          <w:color w:val="000000" w:themeColor="text1"/>
          <w:szCs w:val="24"/>
        </w:rPr>
      </w:pPr>
      <w:r w:rsidRPr="00F57E31">
        <w:rPr>
          <w:rFonts w:ascii="Arial" w:eastAsiaTheme="majorEastAsia" w:hAnsi="Arial" w:cs="Arial"/>
          <w:color w:val="000000" w:themeColor="text1"/>
          <w:szCs w:val="24"/>
        </w:rPr>
        <w:br w:type="page"/>
      </w:r>
    </w:p>
    <w:p w14:paraId="3760A0D8" w14:textId="3331DAF4" w:rsidR="00FA241F" w:rsidRPr="00074DB9" w:rsidRDefault="00657A78" w:rsidP="00FA241F">
      <w:pPr>
        <w:pStyle w:val="Heading3"/>
        <w:rPr>
          <w:rFonts w:ascii="Times New Roman" w:hAnsi="Times New Roman" w:cs="Times New Roman"/>
          <w:sz w:val="24"/>
        </w:rPr>
      </w:pPr>
      <w:bookmarkStart w:id="2" w:name="_Hlk61010229"/>
      <w:r w:rsidRPr="00074DB9">
        <w:rPr>
          <w:rFonts w:ascii="Times New Roman" w:hAnsi="Times New Roman" w:cs="Times New Roman"/>
          <w:sz w:val="24"/>
        </w:rPr>
        <w:lastRenderedPageBreak/>
        <w:t>Supplementa</w:t>
      </w:r>
      <w:r w:rsidR="004771F5">
        <w:rPr>
          <w:rFonts w:ascii="Times New Roman" w:hAnsi="Times New Roman" w:cs="Times New Roman"/>
          <w:sz w:val="24"/>
        </w:rPr>
        <w:t>ry</w:t>
      </w:r>
      <w:r w:rsidRPr="00074DB9">
        <w:rPr>
          <w:rFonts w:ascii="Times New Roman" w:hAnsi="Times New Roman" w:cs="Times New Roman"/>
          <w:sz w:val="24"/>
        </w:rPr>
        <w:t xml:space="preserve"> </w:t>
      </w:r>
      <w:r w:rsidR="00FA241F" w:rsidRPr="00074DB9">
        <w:rPr>
          <w:rFonts w:ascii="Times New Roman" w:hAnsi="Times New Roman" w:cs="Times New Roman"/>
          <w:sz w:val="24"/>
        </w:rPr>
        <w:t xml:space="preserve">Table </w:t>
      </w:r>
      <w:r w:rsidR="004771F5">
        <w:rPr>
          <w:rFonts w:ascii="Times New Roman" w:hAnsi="Times New Roman" w:cs="Times New Roman"/>
          <w:sz w:val="24"/>
        </w:rPr>
        <w:t>S</w:t>
      </w:r>
      <w:r w:rsidRPr="00074DB9">
        <w:rPr>
          <w:rFonts w:ascii="Times New Roman" w:hAnsi="Times New Roman" w:cs="Times New Roman"/>
          <w:sz w:val="24"/>
        </w:rPr>
        <w:t>3</w:t>
      </w:r>
      <w:r w:rsidR="00FA241F" w:rsidRPr="00074DB9">
        <w:rPr>
          <w:rFonts w:ascii="Times New Roman" w:hAnsi="Times New Roman" w:cs="Times New Roman"/>
          <w:sz w:val="24"/>
        </w:rPr>
        <w:t xml:space="preserve">. Estimated* A1c and </w:t>
      </w:r>
      <w:r w:rsidR="00A57B8A">
        <w:rPr>
          <w:rFonts w:ascii="Times New Roman" w:hAnsi="Times New Roman" w:cs="Times New Roman"/>
          <w:sz w:val="24"/>
        </w:rPr>
        <w:t>C</w:t>
      </w:r>
      <w:r w:rsidR="00FA241F" w:rsidRPr="00074DB9">
        <w:rPr>
          <w:rFonts w:ascii="Times New Roman" w:hAnsi="Times New Roman" w:cs="Times New Roman"/>
          <w:sz w:val="24"/>
        </w:rPr>
        <w:t xml:space="preserve">hange in A1c (95% CI) </w:t>
      </w:r>
      <w:r w:rsidR="00A57B8A">
        <w:rPr>
          <w:rFonts w:ascii="Times New Roman" w:hAnsi="Times New Roman" w:cs="Times New Roman"/>
          <w:sz w:val="24"/>
        </w:rPr>
        <w:t>O</w:t>
      </w:r>
      <w:r w:rsidR="00FA241F" w:rsidRPr="00074DB9">
        <w:rPr>
          <w:rFonts w:ascii="Times New Roman" w:hAnsi="Times New Roman" w:cs="Times New Roman"/>
          <w:sz w:val="24"/>
        </w:rPr>
        <w:t xml:space="preserve">verall and by </w:t>
      </w:r>
      <w:r w:rsidR="00A57B8A">
        <w:rPr>
          <w:rFonts w:ascii="Times New Roman" w:hAnsi="Times New Roman" w:cs="Times New Roman"/>
          <w:sz w:val="24"/>
        </w:rPr>
        <w:t>S</w:t>
      </w:r>
      <w:r w:rsidR="00FA241F" w:rsidRPr="00074DB9">
        <w:rPr>
          <w:rFonts w:ascii="Times New Roman" w:hAnsi="Times New Roman" w:cs="Times New Roman"/>
          <w:sz w:val="24"/>
        </w:rPr>
        <w:t xml:space="preserve">ex </w:t>
      </w:r>
    </w:p>
    <w:tbl>
      <w:tblPr>
        <w:tblStyle w:val="TableGrid1"/>
        <w:tblW w:w="94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070"/>
        <w:gridCol w:w="2160"/>
        <w:gridCol w:w="2345"/>
      </w:tblGrid>
      <w:tr w:rsidR="00FA241F" w:rsidRPr="00483030" w14:paraId="78AA6E1F" w14:textId="77777777" w:rsidTr="00590EDE">
        <w:tc>
          <w:tcPr>
            <w:tcW w:w="288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1075F6E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A1c, %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E4B415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Enrolled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ADD8183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Not enrolled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BE7069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Difference:</w:t>
            </w:r>
          </w:p>
          <w:p w14:paraId="0AEB1C54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Enrolled – not enrolled</w:t>
            </w:r>
          </w:p>
        </w:tc>
      </w:tr>
      <w:tr w:rsidR="00FA241F" w:rsidRPr="00483030" w14:paraId="43D0982E" w14:textId="77777777" w:rsidTr="00590EDE">
        <w:trPr>
          <w:trHeight w:val="350"/>
        </w:trPr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14:paraId="3D4F9086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74DB9">
              <w:rPr>
                <w:rFonts w:ascii="Times New Roman" w:hAnsi="Times New Roman" w:cs="Times New Roman"/>
                <w:u w:val="single"/>
              </w:rPr>
              <w:t>Overall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306848DC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2BBFF425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vAlign w:val="bottom"/>
          </w:tcPr>
          <w:p w14:paraId="7E05E935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41F" w:rsidRPr="00483030" w14:paraId="5AECDCE8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346AF55A" w14:textId="77777777" w:rsidR="00FA241F" w:rsidRPr="00074DB9" w:rsidRDefault="00FA241F" w:rsidP="00FA241F">
            <w:pPr>
              <w:spacing w:after="0" w:line="240" w:lineRule="auto"/>
              <w:ind w:left="25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Absolute A1c </w:t>
            </w:r>
          </w:p>
        </w:tc>
        <w:tc>
          <w:tcPr>
            <w:tcW w:w="2070" w:type="dxa"/>
          </w:tcPr>
          <w:p w14:paraId="065352F8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5A29C55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0A54311D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41F" w:rsidRPr="00483030" w14:paraId="71CEA7EA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4BE39309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Baseline </w:t>
            </w:r>
          </w:p>
        </w:tc>
        <w:tc>
          <w:tcPr>
            <w:tcW w:w="2070" w:type="dxa"/>
            <w:vAlign w:val="center"/>
          </w:tcPr>
          <w:p w14:paraId="748CA98A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5.91 (5.84, 5.97)</w:t>
            </w:r>
          </w:p>
        </w:tc>
        <w:tc>
          <w:tcPr>
            <w:tcW w:w="2160" w:type="dxa"/>
            <w:vAlign w:val="center"/>
          </w:tcPr>
          <w:p w14:paraId="53511B34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5.94 (5.92, 5.97)</w:t>
            </w:r>
          </w:p>
        </w:tc>
        <w:tc>
          <w:tcPr>
            <w:tcW w:w="2345" w:type="dxa"/>
            <w:vAlign w:val="center"/>
          </w:tcPr>
          <w:p w14:paraId="698D6E55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-0.04 (-0.10, 0.03)</w:t>
            </w:r>
          </w:p>
        </w:tc>
      </w:tr>
      <w:tr w:rsidR="00FA241F" w:rsidRPr="00483030" w14:paraId="72488A96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200CB193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7</w:t>
            </w:r>
          </w:p>
        </w:tc>
        <w:tc>
          <w:tcPr>
            <w:tcW w:w="2070" w:type="dxa"/>
            <w:vAlign w:val="center"/>
          </w:tcPr>
          <w:p w14:paraId="220507BB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5.86 (5.83, 5.89)</w:t>
            </w:r>
          </w:p>
        </w:tc>
        <w:tc>
          <w:tcPr>
            <w:tcW w:w="2160" w:type="dxa"/>
            <w:vAlign w:val="center"/>
          </w:tcPr>
          <w:p w14:paraId="360654AB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6.01 (6.00, 6.03)</w:t>
            </w:r>
          </w:p>
        </w:tc>
        <w:tc>
          <w:tcPr>
            <w:tcW w:w="2345" w:type="dxa"/>
            <w:vAlign w:val="center"/>
          </w:tcPr>
          <w:p w14:paraId="2BEB05C1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-0.15 (-0.19, -0.12)</w:t>
            </w:r>
          </w:p>
        </w:tc>
      </w:tr>
      <w:tr w:rsidR="00FA241F" w:rsidRPr="00483030" w14:paraId="60A61589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63F995A6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070" w:type="dxa"/>
            <w:vAlign w:val="center"/>
          </w:tcPr>
          <w:p w14:paraId="78EEF690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5.88 (5.85, 5.90)</w:t>
            </w:r>
          </w:p>
        </w:tc>
        <w:tc>
          <w:tcPr>
            <w:tcW w:w="2160" w:type="dxa"/>
            <w:vAlign w:val="center"/>
          </w:tcPr>
          <w:p w14:paraId="0275FCC9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6.01 (6.00, 6.03)</w:t>
            </w:r>
          </w:p>
        </w:tc>
        <w:tc>
          <w:tcPr>
            <w:tcW w:w="2345" w:type="dxa"/>
            <w:vAlign w:val="center"/>
          </w:tcPr>
          <w:p w14:paraId="036F51E9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-0.14 (-0.16, -0.11)</w:t>
            </w:r>
          </w:p>
        </w:tc>
      </w:tr>
      <w:tr w:rsidR="00FA241F" w:rsidRPr="00483030" w14:paraId="25A8E5FC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5E951AF3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070" w:type="dxa"/>
            <w:vAlign w:val="center"/>
          </w:tcPr>
          <w:p w14:paraId="1937C64E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5.93 (5.90, 5.96)</w:t>
            </w:r>
          </w:p>
        </w:tc>
        <w:tc>
          <w:tcPr>
            <w:tcW w:w="2160" w:type="dxa"/>
            <w:vAlign w:val="center"/>
          </w:tcPr>
          <w:p w14:paraId="0BBF52A4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6.02 (6.01, 6.04)</w:t>
            </w:r>
          </w:p>
        </w:tc>
        <w:tc>
          <w:tcPr>
            <w:tcW w:w="2345" w:type="dxa"/>
            <w:vAlign w:val="center"/>
          </w:tcPr>
          <w:p w14:paraId="45D208D0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-0.09 (-0.12, -0.06)</w:t>
            </w:r>
          </w:p>
        </w:tc>
      </w:tr>
      <w:tr w:rsidR="00FA241F" w:rsidRPr="00483030" w14:paraId="4C8D819F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5B8BC6E4" w14:textId="77777777" w:rsidR="00FA241F" w:rsidRPr="00074DB9" w:rsidRDefault="00FA241F" w:rsidP="00FA241F">
            <w:pPr>
              <w:spacing w:after="0" w:line="240" w:lineRule="auto"/>
              <w:ind w:left="25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Change in A1c</w:t>
            </w:r>
          </w:p>
        </w:tc>
        <w:tc>
          <w:tcPr>
            <w:tcW w:w="2070" w:type="dxa"/>
            <w:vAlign w:val="center"/>
          </w:tcPr>
          <w:p w14:paraId="1C5A0A92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0" w:type="dxa"/>
            <w:vAlign w:val="center"/>
          </w:tcPr>
          <w:p w14:paraId="4554528A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5" w:type="dxa"/>
            <w:vAlign w:val="center"/>
          </w:tcPr>
          <w:p w14:paraId="4EEF4742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241F" w:rsidRPr="00483030" w14:paraId="03D86D5F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6BB29803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7 – baseline</w:t>
            </w:r>
          </w:p>
        </w:tc>
        <w:tc>
          <w:tcPr>
            <w:tcW w:w="2070" w:type="dxa"/>
            <w:vAlign w:val="center"/>
          </w:tcPr>
          <w:p w14:paraId="3D7E9078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-0.05 (-0.13, 0.02)</w:t>
            </w:r>
          </w:p>
        </w:tc>
        <w:tc>
          <w:tcPr>
            <w:tcW w:w="2160" w:type="dxa"/>
            <w:vAlign w:val="center"/>
          </w:tcPr>
          <w:p w14:paraId="3B791C4B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0.07 (0.04, 0.10)</w:t>
            </w:r>
          </w:p>
        </w:tc>
        <w:tc>
          <w:tcPr>
            <w:tcW w:w="2345" w:type="dxa"/>
            <w:vAlign w:val="center"/>
          </w:tcPr>
          <w:p w14:paraId="303F34C6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-0.12 (-0.20, -0.04)</w:t>
            </w:r>
          </w:p>
        </w:tc>
      </w:tr>
      <w:tr w:rsidR="00FA241F" w:rsidRPr="00483030" w14:paraId="567517E4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20E87608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12 – month 7 </w:t>
            </w:r>
          </w:p>
        </w:tc>
        <w:tc>
          <w:tcPr>
            <w:tcW w:w="2070" w:type="dxa"/>
            <w:vAlign w:val="center"/>
          </w:tcPr>
          <w:p w14:paraId="1104E44E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0.02 (0.01, 0.03)</w:t>
            </w:r>
          </w:p>
        </w:tc>
        <w:tc>
          <w:tcPr>
            <w:tcW w:w="2160" w:type="dxa"/>
            <w:vAlign w:val="center"/>
          </w:tcPr>
          <w:p w14:paraId="03B73E2F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0.00 (0.00, 0.01)</w:t>
            </w:r>
          </w:p>
        </w:tc>
        <w:tc>
          <w:tcPr>
            <w:tcW w:w="2345" w:type="dxa"/>
            <w:vAlign w:val="center"/>
          </w:tcPr>
          <w:p w14:paraId="27D94D3E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0.02 (0.01, 0.03)</w:t>
            </w:r>
          </w:p>
        </w:tc>
      </w:tr>
      <w:tr w:rsidR="00FA241F" w:rsidRPr="00483030" w14:paraId="56683BCD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652273E5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12 – baseline </w:t>
            </w:r>
          </w:p>
        </w:tc>
        <w:tc>
          <w:tcPr>
            <w:tcW w:w="2070" w:type="dxa"/>
            <w:vAlign w:val="center"/>
          </w:tcPr>
          <w:p w14:paraId="75C511DF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-0.03 (-0.10, 0.04)</w:t>
            </w:r>
          </w:p>
        </w:tc>
        <w:tc>
          <w:tcPr>
            <w:tcW w:w="2160" w:type="dxa"/>
            <w:vAlign w:val="center"/>
          </w:tcPr>
          <w:p w14:paraId="244B979E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0.07 (0.04, 0.10)</w:t>
            </w:r>
          </w:p>
        </w:tc>
        <w:tc>
          <w:tcPr>
            <w:tcW w:w="2345" w:type="dxa"/>
            <w:vAlign w:val="center"/>
          </w:tcPr>
          <w:p w14:paraId="030448C4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-0.10 (-0.18, -0.02)</w:t>
            </w:r>
          </w:p>
        </w:tc>
      </w:tr>
      <w:tr w:rsidR="00FA241F" w:rsidRPr="00483030" w14:paraId="17FE93D4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77CB14F1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24 – baseline </w:t>
            </w:r>
          </w:p>
        </w:tc>
        <w:tc>
          <w:tcPr>
            <w:tcW w:w="2070" w:type="dxa"/>
            <w:vAlign w:val="center"/>
          </w:tcPr>
          <w:p w14:paraId="44EF60DB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0.02 (-0.05, 0.09)</w:t>
            </w:r>
          </w:p>
        </w:tc>
        <w:tc>
          <w:tcPr>
            <w:tcW w:w="2160" w:type="dxa"/>
            <w:vAlign w:val="center"/>
          </w:tcPr>
          <w:p w14:paraId="2E637C6A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0.08 (0.06, 0.10)</w:t>
            </w:r>
          </w:p>
        </w:tc>
        <w:tc>
          <w:tcPr>
            <w:tcW w:w="2345" w:type="dxa"/>
            <w:vAlign w:val="center"/>
          </w:tcPr>
          <w:p w14:paraId="39A8B398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-0.06 (-0.13, 0.01)</w:t>
            </w:r>
          </w:p>
        </w:tc>
      </w:tr>
      <w:tr w:rsidR="00FA241F" w:rsidRPr="00483030" w14:paraId="44DFFE3A" w14:textId="77777777" w:rsidTr="00590EDE">
        <w:trPr>
          <w:trHeight w:val="350"/>
        </w:trPr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14:paraId="1C79FC0B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74DB9">
              <w:rPr>
                <w:rFonts w:ascii="Times New Roman" w:hAnsi="Times New Roman" w:cs="Times New Roman"/>
                <w:u w:val="single"/>
              </w:rPr>
              <w:t>Men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0EC6E52D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7F52A525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vAlign w:val="bottom"/>
          </w:tcPr>
          <w:p w14:paraId="20966651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41F" w:rsidRPr="00483030" w14:paraId="5FC2D94F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6028D7E0" w14:textId="77777777" w:rsidR="00FA241F" w:rsidRPr="00074DB9" w:rsidRDefault="00FA241F" w:rsidP="00FA241F">
            <w:pPr>
              <w:spacing w:after="0" w:line="240" w:lineRule="auto"/>
              <w:ind w:left="25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Absolute A1c</w:t>
            </w:r>
          </w:p>
        </w:tc>
        <w:tc>
          <w:tcPr>
            <w:tcW w:w="2070" w:type="dxa"/>
          </w:tcPr>
          <w:p w14:paraId="19EEA04B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28810A5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68F37B02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41F" w:rsidRPr="00483030" w14:paraId="37193991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5117A6E1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Baseline </w:t>
            </w:r>
          </w:p>
        </w:tc>
        <w:tc>
          <w:tcPr>
            <w:tcW w:w="2070" w:type="dxa"/>
            <w:vAlign w:val="center"/>
          </w:tcPr>
          <w:p w14:paraId="1369F742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5.92 (5.85, 5.98)</w:t>
            </w:r>
          </w:p>
        </w:tc>
        <w:tc>
          <w:tcPr>
            <w:tcW w:w="2160" w:type="dxa"/>
            <w:vAlign w:val="center"/>
          </w:tcPr>
          <w:p w14:paraId="633F5992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5.95 (5.93, 5.98)</w:t>
            </w:r>
          </w:p>
        </w:tc>
        <w:tc>
          <w:tcPr>
            <w:tcW w:w="2345" w:type="dxa"/>
            <w:vAlign w:val="center"/>
          </w:tcPr>
          <w:p w14:paraId="105C1188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-0.04 (-0.10, 0.03)</w:t>
            </w:r>
          </w:p>
        </w:tc>
      </w:tr>
      <w:tr w:rsidR="00FA241F" w:rsidRPr="00483030" w14:paraId="3167C87D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5DC23B21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7</w:t>
            </w:r>
          </w:p>
        </w:tc>
        <w:tc>
          <w:tcPr>
            <w:tcW w:w="2070" w:type="dxa"/>
            <w:vAlign w:val="center"/>
          </w:tcPr>
          <w:p w14:paraId="7F633774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5.87 (5.84, 5.90)</w:t>
            </w:r>
          </w:p>
        </w:tc>
        <w:tc>
          <w:tcPr>
            <w:tcW w:w="2160" w:type="dxa"/>
            <w:vAlign w:val="center"/>
          </w:tcPr>
          <w:p w14:paraId="1C534E82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6.02 (6.00, 6.04)</w:t>
            </w:r>
          </w:p>
        </w:tc>
        <w:tc>
          <w:tcPr>
            <w:tcW w:w="2345" w:type="dxa"/>
            <w:vAlign w:val="center"/>
          </w:tcPr>
          <w:p w14:paraId="42F7A452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-0.15 (-0.19, -0.12)</w:t>
            </w:r>
          </w:p>
        </w:tc>
      </w:tr>
      <w:tr w:rsidR="00FA241F" w:rsidRPr="00483030" w14:paraId="7416D2C8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7583300F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070" w:type="dxa"/>
            <w:vAlign w:val="center"/>
          </w:tcPr>
          <w:p w14:paraId="44D7A8AF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5.89 (5.86, 5.92)</w:t>
            </w:r>
          </w:p>
        </w:tc>
        <w:tc>
          <w:tcPr>
            <w:tcW w:w="2160" w:type="dxa"/>
            <w:vAlign w:val="center"/>
          </w:tcPr>
          <w:p w14:paraId="206F1785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6.03 (6.01, 6.04)</w:t>
            </w:r>
          </w:p>
        </w:tc>
        <w:tc>
          <w:tcPr>
            <w:tcW w:w="2345" w:type="dxa"/>
            <w:vAlign w:val="center"/>
          </w:tcPr>
          <w:p w14:paraId="60E609E7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-0.14 (-0.16, -0.11)</w:t>
            </w:r>
          </w:p>
        </w:tc>
      </w:tr>
      <w:tr w:rsidR="00FA241F" w:rsidRPr="00483030" w14:paraId="3C54031A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2AA14A21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070" w:type="dxa"/>
            <w:vAlign w:val="center"/>
          </w:tcPr>
          <w:p w14:paraId="08A5970E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5.94 (5.91, 5.97)</w:t>
            </w:r>
          </w:p>
        </w:tc>
        <w:tc>
          <w:tcPr>
            <w:tcW w:w="2160" w:type="dxa"/>
            <w:vAlign w:val="center"/>
          </w:tcPr>
          <w:p w14:paraId="53A09700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6.03 (6.02, 6.05)</w:t>
            </w:r>
          </w:p>
        </w:tc>
        <w:tc>
          <w:tcPr>
            <w:tcW w:w="2345" w:type="dxa"/>
            <w:vAlign w:val="center"/>
          </w:tcPr>
          <w:p w14:paraId="52CDCD91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-0.09 (-0.12, -0.06)</w:t>
            </w:r>
          </w:p>
        </w:tc>
      </w:tr>
      <w:tr w:rsidR="00FA241F" w:rsidRPr="00483030" w14:paraId="31D7E7FF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7E07C499" w14:textId="77777777" w:rsidR="00FA241F" w:rsidRPr="00074DB9" w:rsidRDefault="00FA241F" w:rsidP="00FA241F">
            <w:pPr>
              <w:spacing w:after="0" w:line="240" w:lineRule="auto"/>
              <w:ind w:left="25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Change in A1c</w:t>
            </w:r>
          </w:p>
        </w:tc>
        <w:tc>
          <w:tcPr>
            <w:tcW w:w="2070" w:type="dxa"/>
            <w:vAlign w:val="center"/>
          </w:tcPr>
          <w:p w14:paraId="0B0E1EB7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37BD1325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14:paraId="6B9442E9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41F" w:rsidRPr="00483030" w14:paraId="1A32DF36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42EBE526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7 – baseline</w:t>
            </w:r>
          </w:p>
        </w:tc>
        <w:tc>
          <w:tcPr>
            <w:tcW w:w="2070" w:type="dxa"/>
            <w:vAlign w:val="center"/>
          </w:tcPr>
          <w:p w14:paraId="6EC2AF87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-0.05 (-0.13, 0.02)</w:t>
            </w:r>
          </w:p>
        </w:tc>
        <w:tc>
          <w:tcPr>
            <w:tcW w:w="2160" w:type="dxa"/>
            <w:vAlign w:val="center"/>
          </w:tcPr>
          <w:p w14:paraId="3DD4CE3F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0.07 (0.04, 0.10)</w:t>
            </w:r>
          </w:p>
        </w:tc>
        <w:tc>
          <w:tcPr>
            <w:tcW w:w="2345" w:type="dxa"/>
            <w:vAlign w:val="center"/>
          </w:tcPr>
          <w:p w14:paraId="27F918A3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-0.12 (-0.20, -0.04)</w:t>
            </w:r>
          </w:p>
        </w:tc>
      </w:tr>
      <w:tr w:rsidR="00FA241F" w:rsidRPr="00483030" w14:paraId="499F49BA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2CA9E4B9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12 – month 7 </w:t>
            </w:r>
          </w:p>
        </w:tc>
        <w:tc>
          <w:tcPr>
            <w:tcW w:w="2070" w:type="dxa"/>
            <w:vAlign w:val="center"/>
          </w:tcPr>
          <w:p w14:paraId="0CB85956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0.02 (0.01, 0.03)</w:t>
            </w:r>
          </w:p>
        </w:tc>
        <w:tc>
          <w:tcPr>
            <w:tcW w:w="2160" w:type="dxa"/>
            <w:vAlign w:val="center"/>
          </w:tcPr>
          <w:p w14:paraId="174800B3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0.00 (0.00, 0.01)</w:t>
            </w:r>
          </w:p>
        </w:tc>
        <w:tc>
          <w:tcPr>
            <w:tcW w:w="2345" w:type="dxa"/>
            <w:vAlign w:val="center"/>
          </w:tcPr>
          <w:p w14:paraId="404F9F4E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0.02 (0.01, 0.03)</w:t>
            </w:r>
          </w:p>
        </w:tc>
      </w:tr>
      <w:tr w:rsidR="00FA241F" w:rsidRPr="00483030" w14:paraId="4FFFD7DC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7EDC4EF7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12 – baseline </w:t>
            </w:r>
          </w:p>
        </w:tc>
        <w:tc>
          <w:tcPr>
            <w:tcW w:w="2070" w:type="dxa"/>
            <w:vAlign w:val="center"/>
          </w:tcPr>
          <w:p w14:paraId="64CE573C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-0.03 (-0.10, 0.04)</w:t>
            </w:r>
          </w:p>
        </w:tc>
        <w:tc>
          <w:tcPr>
            <w:tcW w:w="2160" w:type="dxa"/>
            <w:vAlign w:val="center"/>
          </w:tcPr>
          <w:p w14:paraId="5AF57C3A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0.07 (0.04, 0.10)</w:t>
            </w:r>
          </w:p>
        </w:tc>
        <w:tc>
          <w:tcPr>
            <w:tcW w:w="2345" w:type="dxa"/>
            <w:vAlign w:val="center"/>
          </w:tcPr>
          <w:p w14:paraId="16AB9856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-0.10 (-0.18, -0.02)</w:t>
            </w:r>
          </w:p>
        </w:tc>
      </w:tr>
      <w:tr w:rsidR="00FA241F" w:rsidRPr="00483030" w14:paraId="02C957F0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2508EABD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24 – baseline </w:t>
            </w:r>
          </w:p>
        </w:tc>
        <w:tc>
          <w:tcPr>
            <w:tcW w:w="2070" w:type="dxa"/>
            <w:vAlign w:val="center"/>
          </w:tcPr>
          <w:p w14:paraId="62222A00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0.02 (-0.05, 0.09)</w:t>
            </w:r>
          </w:p>
        </w:tc>
        <w:tc>
          <w:tcPr>
            <w:tcW w:w="2160" w:type="dxa"/>
            <w:vAlign w:val="center"/>
          </w:tcPr>
          <w:p w14:paraId="53B23DEE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0.08 (0.06, 0.10)</w:t>
            </w:r>
          </w:p>
        </w:tc>
        <w:tc>
          <w:tcPr>
            <w:tcW w:w="2345" w:type="dxa"/>
            <w:vAlign w:val="center"/>
          </w:tcPr>
          <w:p w14:paraId="77FEBDEE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-0.06 (-0.13, 0.01)</w:t>
            </w:r>
          </w:p>
        </w:tc>
      </w:tr>
      <w:tr w:rsidR="00FA241F" w:rsidRPr="00483030" w14:paraId="2757468E" w14:textId="77777777" w:rsidTr="00590EDE">
        <w:trPr>
          <w:trHeight w:val="350"/>
        </w:trPr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14:paraId="013F4B10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74DB9">
              <w:rPr>
                <w:rFonts w:ascii="Times New Roman" w:hAnsi="Times New Roman" w:cs="Times New Roman"/>
                <w:u w:val="single"/>
              </w:rPr>
              <w:t>Women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742F531E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5694A079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vAlign w:val="bottom"/>
          </w:tcPr>
          <w:p w14:paraId="1EDD356D" w14:textId="77777777" w:rsidR="00FA241F" w:rsidRPr="00074DB9" w:rsidRDefault="00FA241F" w:rsidP="00FA2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41F" w:rsidRPr="00483030" w14:paraId="44B533FE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5A3A72A7" w14:textId="77777777" w:rsidR="00FA241F" w:rsidRPr="00074DB9" w:rsidRDefault="00FA241F" w:rsidP="00FA241F">
            <w:pPr>
              <w:spacing w:after="0" w:line="240" w:lineRule="auto"/>
              <w:ind w:left="25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Absolute A1c</w:t>
            </w:r>
          </w:p>
        </w:tc>
        <w:tc>
          <w:tcPr>
            <w:tcW w:w="2070" w:type="dxa"/>
            <w:vAlign w:val="center"/>
          </w:tcPr>
          <w:p w14:paraId="0F4D4BEF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366CC71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39BDE2DE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41F" w:rsidRPr="00483030" w14:paraId="26E1C83C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76986CD7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Baseline </w:t>
            </w:r>
          </w:p>
        </w:tc>
        <w:tc>
          <w:tcPr>
            <w:tcW w:w="2070" w:type="dxa"/>
            <w:vAlign w:val="center"/>
          </w:tcPr>
          <w:p w14:paraId="50945E94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5.90 (5.84, 5.96)</w:t>
            </w:r>
          </w:p>
        </w:tc>
        <w:tc>
          <w:tcPr>
            <w:tcW w:w="2160" w:type="dxa"/>
            <w:vAlign w:val="center"/>
          </w:tcPr>
          <w:p w14:paraId="66FD31F3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5.93 (5.91, 5.96)</w:t>
            </w:r>
          </w:p>
        </w:tc>
        <w:tc>
          <w:tcPr>
            <w:tcW w:w="2345" w:type="dxa"/>
            <w:vAlign w:val="center"/>
          </w:tcPr>
          <w:p w14:paraId="1A721D7B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-0.04 (-0.10, 0.03)</w:t>
            </w:r>
          </w:p>
        </w:tc>
      </w:tr>
      <w:tr w:rsidR="00FA241F" w:rsidRPr="00483030" w14:paraId="0FD4EDAA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3ECB6363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7</w:t>
            </w:r>
          </w:p>
        </w:tc>
        <w:tc>
          <w:tcPr>
            <w:tcW w:w="2070" w:type="dxa"/>
            <w:vAlign w:val="center"/>
          </w:tcPr>
          <w:p w14:paraId="1BB0B2A5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5.85 (5.82, 5.88)</w:t>
            </w:r>
          </w:p>
        </w:tc>
        <w:tc>
          <w:tcPr>
            <w:tcW w:w="2160" w:type="dxa"/>
            <w:vAlign w:val="center"/>
          </w:tcPr>
          <w:p w14:paraId="64C22A13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6.00 (5.99, 6.02)</w:t>
            </w:r>
          </w:p>
        </w:tc>
        <w:tc>
          <w:tcPr>
            <w:tcW w:w="2345" w:type="dxa"/>
            <w:vAlign w:val="center"/>
          </w:tcPr>
          <w:p w14:paraId="07D4F558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-0.15 (-0.19, -0.12)</w:t>
            </w:r>
          </w:p>
        </w:tc>
      </w:tr>
      <w:tr w:rsidR="00FA241F" w:rsidRPr="00483030" w14:paraId="5DD55009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76AE4B2D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070" w:type="dxa"/>
            <w:vAlign w:val="center"/>
          </w:tcPr>
          <w:p w14:paraId="1786F4F0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5.87 (5.84, 5.90)</w:t>
            </w:r>
          </w:p>
        </w:tc>
        <w:tc>
          <w:tcPr>
            <w:tcW w:w="2160" w:type="dxa"/>
            <w:vAlign w:val="center"/>
          </w:tcPr>
          <w:p w14:paraId="2F6F4AC5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6.01 (5.99, 6.02)</w:t>
            </w:r>
          </w:p>
        </w:tc>
        <w:tc>
          <w:tcPr>
            <w:tcW w:w="2345" w:type="dxa"/>
            <w:vAlign w:val="center"/>
          </w:tcPr>
          <w:p w14:paraId="5B942827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-0.14 (-0.16, -0.11)</w:t>
            </w:r>
          </w:p>
        </w:tc>
      </w:tr>
      <w:tr w:rsidR="00FA241F" w:rsidRPr="00483030" w14:paraId="6728F76C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5B6C4A60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070" w:type="dxa"/>
            <w:vAlign w:val="center"/>
          </w:tcPr>
          <w:p w14:paraId="646E2E4C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5.92 (5.89, 5.95)</w:t>
            </w:r>
          </w:p>
        </w:tc>
        <w:tc>
          <w:tcPr>
            <w:tcW w:w="2160" w:type="dxa"/>
            <w:vAlign w:val="center"/>
          </w:tcPr>
          <w:p w14:paraId="71F30940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6.01 (5.99, 6.03)</w:t>
            </w:r>
          </w:p>
        </w:tc>
        <w:tc>
          <w:tcPr>
            <w:tcW w:w="2345" w:type="dxa"/>
            <w:vAlign w:val="center"/>
          </w:tcPr>
          <w:p w14:paraId="13B6CED2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-0.09 (-0.12, -0.06)</w:t>
            </w:r>
          </w:p>
        </w:tc>
      </w:tr>
      <w:tr w:rsidR="00FA241F" w:rsidRPr="00483030" w14:paraId="6BB6765E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29A8DFB9" w14:textId="77777777" w:rsidR="00FA241F" w:rsidRPr="00074DB9" w:rsidRDefault="00FA241F" w:rsidP="00FA241F">
            <w:pPr>
              <w:spacing w:after="0" w:line="240" w:lineRule="auto"/>
              <w:ind w:left="25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Change in A1c</w:t>
            </w:r>
          </w:p>
        </w:tc>
        <w:tc>
          <w:tcPr>
            <w:tcW w:w="2070" w:type="dxa"/>
            <w:vAlign w:val="center"/>
          </w:tcPr>
          <w:p w14:paraId="4E9B8EDA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40C42872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14:paraId="405082CB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41F" w:rsidRPr="00483030" w14:paraId="23206596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51E7DF12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>Month 7 – baseline</w:t>
            </w:r>
          </w:p>
        </w:tc>
        <w:tc>
          <w:tcPr>
            <w:tcW w:w="2070" w:type="dxa"/>
            <w:vAlign w:val="center"/>
          </w:tcPr>
          <w:p w14:paraId="4765972C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-0.05 (-0.13, 0.02)</w:t>
            </w:r>
          </w:p>
        </w:tc>
        <w:tc>
          <w:tcPr>
            <w:tcW w:w="2160" w:type="dxa"/>
            <w:vAlign w:val="center"/>
          </w:tcPr>
          <w:p w14:paraId="1F654076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0.07 (0.04, 0.10)</w:t>
            </w:r>
          </w:p>
        </w:tc>
        <w:tc>
          <w:tcPr>
            <w:tcW w:w="2345" w:type="dxa"/>
            <w:vAlign w:val="center"/>
          </w:tcPr>
          <w:p w14:paraId="0A66C1AB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-0.12 (-0.20, -0.04)</w:t>
            </w:r>
          </w:p>
        </w:tc>
      </w:tr>
      <w:tr w:rsidR="00FA241F" w:rsidRPr="00483030" w14:paraId="035A2368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2CE5E244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12 – month 7 </w:t>
            </w:r>
          </w:p>
        </w:tc>
        <w:tc>
          <w:tcPr>
            <w:tcW w:w="2070" w:type="dxa"/>
            <w:vAlign w:val="center"/>
          </w:tcPr>
          <w:p w14:paraId="0A261C14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0.02 (0.01, 0.03)</w:t>
            </w:r>
          </w:p>
        </w:tc>
        <w:tc>
          <w:tcPr>
            <w:tcW w:w="2160" w:type="dxa"/>
            <w:vAlign w:val="center"/>
          </w:tcPr>
          <w:p w14:paraId="730FE8C7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0.00 (0.00, 0.01)</w:t>
            </w:r>
          </w:p>
        </w:tc>
        <w:tc>
          <w:tcPr>
            <w:tcW w:w="2345" w:type="dxa"/>
            <w:vAlign w:val="center"/>
          </w:tcPr>
          <w:p w14:paraId="44621F5E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0.02 (0.01, 0.03)</w:t>
            </w:r>
          </w:p>
        </w:tc>
      </w:tr>
      <w:tr w:rsidR="00FA241F" w:rsidRPr="00483030" w14:paraId="472E98B0" w14:textId="77777777" w:rsidTr="00590EDE">
        <w:trPr>
          <w:trHeight w:val="246"/>
        </w:trPr>
        <w:tc>
          <w:tcPr>
            <w:tcW w:w="2880" w:type="dxa"/>
            <w:vAlign w:val="center"/>
          </w:tcPr>
          <w:p w14:paraId="340D007C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12 – baseline </w:t>
            </w:r>
          </w:p>
        </w:tc>
        <w:tc>
          <w:tcPr>
            <w:tcW w:w="2070" w:type="dxa"/>
            <w:vAlign w:val="center"/>
          </w:tcPr>
          <w:p w14:paraId="71D85542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-0.03 (-0.10, 0.04)</w:t>
            </w:r>
          </w:p>
        </w:tc>
        <w:tc>
          <w:tcPr>
            <w:tcW w:w="2160" w:type="dxa"/>
            <w:vAlign w:val="center"/>
          </w:tcPr>
          <w:p w14:paraId="134BB85F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0.07 (0.04, 0.10)</w:t>
            </w:r>
          </w:p>
        </w:tc>
        <w:tc>
          <w:tcPr>
            <w:tcW w:w="2345" w:type="dxa"/>
            <w:vAlign w:val="center"/>
          </w:tcPr>
          <w:p w14:paraId="5AECBD7F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-0.10 (-0.18, -0.02)</w:t>
            </w:r>
          </w:p>
        </w:tc>
      </w:tr>
      <w:tr w:rsidR="00FA241F" w:rsidRPr="00483030" w14:paraId="228AEA34" w14:textId="77777777" w:rsidTr="00590EDE">
        <w:trPr>
          <w:trHeight w:val="246"/>
        </w:trPr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14:paraId="61A472D3" w14:textId="77777777" w:rsidR="00FA241F" w:rsidRPr="00074DB9" w:rsidRDefault="00FA241F" w:rsidP="00FA241F">
            <w:pPr>
              <w:spacing w:after="0" w:line="240" w:lineRule="auto"/>
              <w:ind w:left="615"/>
              <w:rPr>
                <w:rFonts w:ascii="Times New Roman" w:hAnsi="Times New Roman" w:cs="Times New Roman"/>
              </w:rPr>
            </w:pPr>
            <w:r w:rsidRPr="00074DB9">
              <w:rPr>
                <w:rFonts w:ascii="Times New Roman" w:hAnsi="Times New Roman" w:cs="Times New Roman"/>
              </w:rPr>
              <w:t xml:space="preserve">Month 24 – baseline 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14:paraId="7CD5EF27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0.02 (-0.05, 0.09)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14:paraId="36449797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0.08 (0.06, 0.10)</w:t>
            </w:r>
          </w:p>
        </w:tc>
        <w:tc>
          <w:tcPr>
            <w:tcW w:w="2345" w:type="dxa"/>
            <w:tcBorders>
              <w:bottom w:val="single" w:sz="18" w:space="0" w:color="auto"/>
            </w:tcBorders>
            <w:vAlign w:val="center"/>
          </w:tcPr>
          <w:p w14:paraId="00784F68" w14:textId="77777777" w:rsidR="00FA241F" w:rsidRPr="00074DB9" w:rsidRDefault="00FA241F" w:rsidP="00FA2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DB9">
              <w:rPr>
                <w:rFonts w:ascii="Times New Roman" w:hAnsi="Times New Roman" w:cs="Times New Roman"/>
                <w:color w:val="000000"/>
              </w:rPr>
              <w:t>-0.06 (-0.13, 0.01)</w:t>
            </w:r>
          </w:p>
        </w:tc>
      </w:tr>
    </w:tbl>
    <w:p w14:paraId="5BBBF5CF" w14:textId="698DA59B" w:rsidR="00483030" w:rsidRPr="003900DE" w:rsidRDefault="00483030" w:rsidP="00483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00DE">
        <w:rPr>
          <w:rFonts w:ascii="Times New Roman" w:hAnsi="Times New Roman" w:cs="Times New Roman"/>
          <w:sz w:val="20"/>
          <w:szCs w:val="20"/>
        </w:rPr>
        <w:t>* Estimates (95% CIs) are marginal weights from a mixed effects model, with time since baseline modeled using a linear spline with a knot at 7 months. The outcome in this model is percent weight change from baseline, calculated as the (weight at follow-up – baseline weight)/(baseline weight). The model includes a random intercept and 2 random slopes (one for each time spline term); we used unstructured correlation structure for the random effects. The model was adjusted for age, race (white; non-white), exercise status (no exercise; 10-140 minutes per week; ≥150minutes per week; missing), Charlson index</w:t>
      </w:r>
      <w:r w:rsidRPr="003900DE" w:rsidDel="00483030">
        <w:rPr>
          <w:rFonts w:ascii="Times New Roman" w:hAnsi="Times New Roman" w:cs="Times New Roman"/>
          <w:sz w:val="20"/>
          <w:szCs w:val="20"/>
        </w:rPr>
        <w:t xml:space="preserve"> </w:t>
      </w:r>
      <w:r w:rsidRPr="003900DE">
        <w:rPr>
          <w:rFonts w:ascii="Times New Roman" w:hAnsi="Times New Roman" w:cs="Times New Roman"/>
          <w:sz w:val="20"/>
          <w:szCs w:val="20"/>
        </w:rPr>
        <w:t>(0, 1, 2, or 3+ comorbidities), tobacco use (current; former; never), neighborhood percent high school or less, neighborhood median household income, estimated propensity score for enrolling in DPP online, baseline weight, mental health diagnosis in the past year (yes/no), metformin use. The model also include</w:t>
      </w:r>
      <w:r w:rsidR="00433E7B">
        <w:rPr>
          <w:rFonts w:ascii="Times New Roman" w:hAnsi="Times New Roman" w:cs="Times New Roman"/>
          <w:sz w:val="20"/>
          <w:szCs w:val="20"/>
        </w:rPr>
        <w:t>s</w:t>
      </w:r>
      <w:r w:rsidRPr="003900DE">
        <w:rPr>
          <w:rFonts w:ascii="Times New Roman" w:hAnsi="Times New Roman" w:cs="Times New Roman"/>
          <w:sz w:val="20"/>
          <w:szCs w:val="20"/>
        </w:rPr>
        <w:t xml:space="preserve"> two-way interactions between each time spline with baseline weight</w:t>
      </w:r>
      <w:r>
        <w:rPr>
          <w:rFonts w:ascii="Times New Roman" w:hAnsi="Times New Roman" w:cs="Times New Roman"/>
          <w:sz w:val="20"/>
          <w:szCs w:val="20"/>
        </w:rPr>
        <w:t xml:space="preserve">, sex, </w:t>
      </w:r>
      <w:r w:rsidRPr="003900DE">
        <w:rPr>
          <w:rFonts w:ascii="Times New Roman" w:hAnsi="Times New Roman" w:cs="Times New Roman"/>
          <w:sz w:val="20"/>
          <w:szCs w:val="20"/>
        </w:rPr>
        <w:t>and DPP online enrollment status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900DE">
        <w:rPr>
          <w:rFonts w:ascii="Times New Roman" w:hAnsi="Times New Roman" w:cs="Times New Roman"/>
          <w:sz w:val="20"/>
          <w:szCs w:val="20"/>
        </w:rPr>
        <w:t>All covariates were held constant at their means (overall means) to estimate marginal percent weight change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900DE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464780D1" w14:textId="0DD5E80C" w:rsidR="00FA241F" w:rsidRPr="000F4FF1" w:rsidRDefault="00FA241F" w:rsidP="00FA241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25B28C" w14:textId="77777777" w:rsidR="00FA241F" w:rsidRDefault="00FA241F" w:rsidP="00FA241F">
      <w:pPr>
        <w:spacing w:after="0" w:line="240" w:lineRule="auto"/>
      </w:pPr>
    </w:p>
    <w:p w14:paraId="013F7423" w14:textId="77777777" w:rsidR="00FA241F" w:rsidRPr="000F4FF1" w:rsidRDefault="00FA241F" w:rsidP="00FA241F">
      <w:pPr>
        <w:spacing w:after="0" w:line="240" w:lineRule="auto"/>
      </w:pPr>
    </w:p>
    <w:p w14:paraId="51CD05B1" w14:textId="02CCB348" w:rsidR="00003F8D" w:rsidRPr="00CC1750" w:rsidRDefault="006543A6" w:rsidP="00003F8D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</w:t>
      </w:r>
      <w:r w:rsidR="004771F5"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t xml:space="preserve"> Figure </w:t>
      </w:r>
      <w:r w:rsidR="004771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3F8D" w:rsidRPr="00074DB9"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003F8D">
        <w:rPr>
          <w:rFonts w:ascii="Times New Roman" w:hAnsi="Times New Roman" w:cs="Times New Roman"/>
          <w:sz w:val="24"/>
          <w:szCs w:val="24"/>
        </w:rPr>
        <w:t>P</w:t>
      </w:r>
      <w:r w:rsidR="00003F8D" w:rsidRPr="00074DB9">
        <w:rPr>
          <w:rFonts w:ascii="Times New Roman" w:hAnsi="Times New Roman" w:cs="Times New Roman"/>
          <w:sz w:val="24"/>
          <w:szCs w:val="24"/>
        </w:rPr>
        <w:t xml:space="preserve">ropensity </w:t>
      </w:r>
      <w:r w:rsidR="00003F8D">
        <w:rPr>
          <w:rFonts w:ascii="Times New Roman" w:hAnsi="Times New Roman" w:cs="Times New Roman"/>
          <w:sz w:val="24"/>
          <w:szCs w:val="24"/>
        </w:rPr>
        <w:t>S</w:t>
      </w:r>
      <w:r w:rsidR="00003F8D" w:rsidRPr="00074DB9">
        <w:rPr>
          <w:rFonts w:ascii="Times New Roman" w:hAnsi="Times New Roman" w:cs="Times New Roman"/>
          <w:sz w:val="24"/>
          <w:szCs w:val="24"/>
        </w:rPr>
        <w:t xml:space="preserve">cores in </w:t>
      </w:r>
      <w:r w:rsidR="00003F8D">
        <w:rPr>
          <w:rFonts w:ascii="Times New Roman" w:hAnsi="Times New Roman" w:cs="Times New Roman"/>
          <w:sz w:val="24"/>
          <w:szCs w:val="24"/>
        </w:rPr>
        <w:t>F</w:t>
      </w:r>
      <w:r w:rsidR="00003F8D" w:rsidRPr="00074DB9">
        <w:rPr>
          <w:rFonts w:ascii="Times New Roman" w:hAnsi="Times New Roman" w:cs="Times New Roman"/>
          <w:sz w:val="24"/>
          <w:szCs w:val="24"/>
        </w:rPr>
        <w:t xml:space="preserve">ull and </w:t>
      </w:r>
      <w:r w:rsidR="00003F8D">
        <w:rPr>
          <w:rFonts w:ascii="Times New Roman" w:hAnsi="Times New Roman" w:cs="Times New Roman"/>
          <w:sz w:val="24"/>
          <w:szCs w:val="24"/>
        </w:rPr>
        <w:t>M</w:t>
      </w:r>
      <w:r w:rsidR="00003F8D" w:rsidRPr="00074DB9">
        <w:rPr>
          <w:rFonts w:ascii="Times New Roman" w:hAnsi="Times New Roman" w:cs="Times New Roman"/>
          <w:sz w:val="24"/>
          <w:szCs w:val="24"/>
        </w:rPr>
        <w:t xml:space="preserve">atched </w:t>
      </w:r>
      <w:r w:rsidR="00003F8D">
        <w:rPr>
          <w:rFonts w:ascii="Times New Roman" w:hAnsi="Times New Roman" w:cs="Times New Roman"/>
          <w:sz w:val="24"/>
          <w:szCs w:val="24"/>
        </w:rPr>
        <w:t>C</w:t>
      </w:r>
      <w:r w:rsidR="00003F8D" w:rsidRPr="00074DB9">
        <w:rPr>
          <w:rFonts w:ascii="Times New Roman" w:hAnsi="Times New Roman" w:cs="Times New Roman"/>
          <w:sz w:val="24"/>
          <w:szCs w:val="24"/>
        </w:rPr>
        <w:t xml:space="preserve">ohort for </w:t>
      </w:r>
      <w:r w:rsidR="00003F8D">
        <w:rPr>
          <w:rFonts w:ascii="Times New Roman" w:hAnsi="Times New Roman" w:cs="Times New Roman"/>
          <w:sz w:val="24"/>
          <w:szCs w:val="24"/>
        </w:rPr>
        <w:t>W</w:t>
      </w:r>
      <w:r w:rsidR="00003F8D" w:rsidRPr="00074DB9">
        <w:rPr>
          <w:rFonts w:ascii="Times New Roman" w:hAnsi="Times New Roman" w:cs="Times New Roman"/>
          <w:sz w:val="24"/>
          <w:szCs w:val="24"/>
        </w:rPr>
        <w:t>eight</w:t>
      </w:r>
      <w:r w:rsidR="00003F8D" w:rsidRPr="00CC1750">
        <w:rPr>
          <w:rFonts w:ascii="Arial" w:hAnsi="Arial" w:cs="Arial"/>
        </w:rPr>
        <w:t xml:space="preserve"> </w:t>
      </w:r>
    </w:p>
    <w:p w14:paraId="41603D0E" w14:textId="77777777" w:rsidR="00003F8D" w:rsidRPr="00360F1F" w:rsidRDefault="00003F8D" w:rsidP="00003F8D">
      <w:pPr>
        <w:rPr>
          <w:rFonts w:ascii="Arial" w:hAnsi="Arial" w:cs="Arial"/>
        </w:rPr>
      </w:pPr>
      <w:r w:rsidRPr="00CC1750">
        <w:rPr>
          <w:rFonts w:ascii="Arial" w:hAnsi="Arial" w:cs="Arial"/>
          <w:noProof/>
        </w:rPr>
        <w:drawing>
          <wp:inline distT="0" distB="0" distL="0" distR="0" wp14:anchorId="0A3A7AC2" wp14:editId="24A1C0F3">
            <wp:extent cx="5772150" cy="313454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2597" r="2084" b="2788"/>
                    <a:stretch/>
                  </pic:blipFill>
                  <pic:spPr bwMode="auto">
                    <a:xfrm>
                      <a:off x="0" y="0"/>
                      <a:ext cx="5783697" cy="31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A9DCB" w14:textId="6C1C2617" w:rsidR="00AE0615" w:rsidRPr="00FA241F" w:rsidRDefault="00003F8D">
      <w:r w:rsidRPr="00074DB9">
        <w:rPr>
          <w:rFonts w:ascii="Times New Roman" w:hAnsi="Times New Roman" w:cs="Times New Roman"/>
          <w:u w:val="single"/>
        </w:rPr>
        <w:t>Legend:</w:t>
      </w:r>
      <w:r w:rsidRPr="00074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074DB9">
        <w:rPr>
          <w:rFonts w:ascii="Times New Roman" w:hAnsi="Times New Roman" w:cs="Times New Roman"/>
        </w:rPr>
        <w:t xml:space="preserve">ogit propensity scores were calculated from a logistic regression with enrollment status as the outcome and covariates were the same </w:t>
      </w:r>
      <w:r>
        <w:rPr>
          <w:rFonts w:ascii="Times New Roman" w:hAnsi="Times New Roman" w:cs="Times New Roman"/>
        </w:rPr>
        <w:t xml:space="preserve">as </w:t>
      </w:r>
      <w:r w:rsidRPr="00074DB9">
        <w:rPr>
          <w:rFonts w:ascii="Times New Roman" w:hAnsi="Times New Roman" w:cs="Times New Roman"/>
        </w:rPr>
        <w:t>those in our LDA models. Matching was done using the logit propensity score and was 1:1 without replacement using caliper of 0.11 (20% of one standard deviation of the logit). One enrolled person w</w:t>
      </w:r>
      <w:r>
        <w:rPr>
          <w:rFonts w:ascii="Times New Roman" w:hAnsi="Times New Roman" w:cs="Times New Roman"/>
        </w:rPr>
        <w:t>as</w:t>
      </w:r>
      <w:r w:rsidRPr="00074DB9">
        <w:rPr>
          <w:rFonts w:ascii="Times New Roman" w:hAnsi="Times New Roman" w:cs="Times New Roman"/>
        </w:rPr>
        <w:t xml:space="preserve"> not matched and dropped from subsequent weight analyses</w:t>
      </w:r>
      <w:r>
        <w:rPr>
          <w:rFonts w:ascii="Times New Roman" w:hAnsi="Times New Roman" w:cs="Times New Roman"/>
        </w:rPr>
        <w:t>.</w:t>
      </w:r>
    </w:p>
    <w:sectPr w:rsidR="00AE0615" w:rsidRPr="00FA24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7537" w14:textId="77777777" w:rsidR="004315C1" w:rsidRDefault="004315C1" w:rsidP="00ED3C38">
      <w:pPr>
        <w:spacing w:after="0" w:line="240" w:lineRule="auto"/>
      </w:pPr>
      <w:r>
        <w:separator/>
      </w:r>
    </w:p>
  </w:endnote>
  <w:endnote w:type="continuationSeparator" w:id="0">
    <w:p w14:paraId="3C95EFCD" w14:textId="77777777" w:rsidR="004315C1" w:rsidRDefault="004315C1" w:rsidP="00ED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ABD2" w14:textId="4B28CBF9" w:rsidR="005377C0" w:rsidRPr="001F6090" w:rsidRDefault="005377C0">
    <w:pPr>
      <w:pStyle w:val="Footer"/>
      <w:rPr>
        <w:rFonts w:ascii="Times New Roman" w:hAnsi="Times New Roman" w:cs="Times New Roman"/>
      </w:rPr>
    </w:pPr>
    <w:r w:rsidRPr="001F6090">
      <w:rPr>
        <w:rFonts w:ascii="Times New Roman" w:hAnsi="Times New Roman" w:cs="Times New Roman"/>
      </w:rPr>
      <w:t xml:space="preserve">Page </w:t>
    </w:r>
    <w:r w:rsidRPr="001F6090">
      <w:rPr>
        <w:rFonts w:ascii="Times New Roman" w:hAnsi="Times New Roman" w:cs="Times New Roman"/>
      </w:rPr>
      <w:fldChar w:fldCharType="begin"/>
    </w:r>
    <w:r w:rsidRPr="001F6090">
      <w:rPr>
        <w:rFonts w:ascii="Times New Roman" w:hAnsi="Times New Roman" w:cs="Times New Roman"/>
      </w:rPr>
      <w:instrText xml:space="preserve"> PAGE   \* MERGEFORMAT </w:instrText>
    </w:r>
    <w:r w:rsidRPr="001F6090">
      <w:rPr>
        <w:rFonts w:ascii="Times New Roman" w:hAnsi="Times New Roman" w:cs="Times New Roman"/>
      </w:rPr>
      <w:fldChar w:fldCharType="separate"/>
    </w:r>
    <w:r w:rsidRPr="001F6090">
      <w:rPr>
        <w:rFonts w:ascii="Times New Roman" w:hAnsi="Times New Roman" w:cs="Times New Roman"/>
        <w:noProof/>
      </w:rPr>
      <w:t>1</w:t>
    </w:r>
    <w:r w:rsidRPr="001F6090">
      <w:rPr>
        <w:rFonts w:ascii="Times New Roman" w:hAnsi="Times New Roman" w:cs="Times New Roman"/>
      </w:rPr>
      <w:fldChar w:fldCharType="end"/>
    </w:r>
    <w:r w:rsidRPr="001F6090">
      <w:rPr>
        <w:rFonts w:ascii="Times New Roman" w:hAnsi="Times New Roman" w:cs="Times New Roman"/>
      </w:rPr>
      <w:t xml:space="preserve"> of </w:t>
    </w:r>
    <w:r w:rsidRPr="001F6090">
      <w:rPr>
        <w:rFonts w:ascii="Times New Roman" w:hAnsi="Times New Roman" w:cs="Times New Roman"/>
      </w:rPr>
      <w:fldChar w:fldCharType="begin"/>
    </w:r>
    <w:r w:rsidRPr="001F6090">
      <w:rPr>
        <w:rFonts w:ascii="Times New Roman" w:hAnsi="Times New Roman" w:cs="Times New Roman"/>
      </w:rPr>
      <w:instrText xml:space="preserve"> SECTIONPAGES   \* MERGEFORMAT </w:instrText>
    </w:r>
    <w:r w:rsidRPr="001F6090">
      <w:rPr>
        <w:rFonts w:ascii="Times New Roman" w:hAnsi="Times New Roman" w:cs="Times New Roman"/>
      </w:rPr>
      <w:fldChar w:fldCharType="separate"/>
    </w:r>
    <w:r w:rsidR="004771F5">
      <w:rPr>
        <w:rFonts w:ascii="Times New Roman" w:hAnsi="Times New Roman" w:cs="Times New Roman"/>
        <w:noProof/>
      </w:rPr>
      <w:t>5</w:t>
    </w:r>
    <w:r w:rsidRPr="001F6090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2774" w14:textId="77777777" w:rsidR="004315C1" w:rsidRDefault="004315C1" w:rsidP="00ED3C38">
      <w:pPr>
        <w:spacing w:after="0" w:line="240" w:lineRule="auto"/>
      </w:pPr>
      <w:r>
        <w:separator/>
      </w:r>
    </w:p>
  </w:footnote>
  <w:footnote w:type="continuationSeparator" w:id="0">
    <w:p w14:paraId="024BE681" w14:textId="77777777" w:rsidR="004315C1" w:rsidRDefault="004315C1" w:rsidP="00ED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B70"/>
    <w:multiLevelType w:val="hybridMultilevel"/>
    <w:tmpl w:val="AF58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F7D7A"/>
    <w:multiLevelType w:val="hybridMultilevel"/>
    <w:tmpl w:val="EFA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F37BF"/>
    <w:multiLevelType w:val="hybridMultilevel"/>
    <w:tmpl w:val="AD52B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82B48"/>
    <w:multiLevelType w:val="hybridMultilevel"/>
    <w:tmpl w:val="AD52B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346BA"/>
    <w:multiLevelType w:val="hybridMultilevel"/>
    <w:tmpl w:val="644E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51B0"/>
    <w:multiLevelType w:val="hybridMultilevel"/>
    <w:tmpl w:val="1A6A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2A6A55"/>
    <w:multiLevelType w:val="hybridMultilevel"/>
    <w:tmpl w:val="0AF6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3A7C"/>
    <w:multiLevelType w:val="hybridMultilevel"/>
    <w:tmpl w:val="FCBEA0EA"/>
    <w:lvl w:ilvl="0" w:tplc="7F0C8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d9vvaxzrftvwes0t6xfda5twp5ftpdxx2a&quot;&gt;SFitzpatrick EndNote Library 2017-02-14-Saved-Converted&lt;record-ids&gt;&lt;item&gt;122&lt;/item&gt;&lt;item&gt;348&lt;/item&gt;&lt;item&gt;616&lt;/item&gt;&lt;item&gt;649&lt;/item&gt;&lt;item&gt;659&lt;/item&gt;&lt;item&gt;660&lt;/item&gt;&lt;item&gt;973&lt;/item&gt;&lt;item&gt;4103&lt;/item&gt;&lt;item&gt;4580&lt;/item&gt;&lt;item&gt;4599&lt;/item&gt;&lt;item&gt;4600&lt;/item&gt;&lt;item&gt;4604&lt;/item&gt;&lt;item&gt;4606&lt;/item&gt;&lt;item&gt;4676&lt;/item&gt;&lt;item&gt;4677&lt;/item&gt;&lt;item&gt;4682&lt;/item&gt;&lt;item&gt;4686&lt;/item&gt;&lt;item&gt;11115&lt;/item&gt;&lt;item&gt;11116&lt;/item&gt;&lt;item&gt;11117&lt;/item&gt;&lt;item&gt;11118&lt;/item&gt;&lt;item&gt;11120&lt;/item&gt;&lt;item&gt;11121&lt;/item&gt;&lt;item&gt;11122&lt;/item&gt;&lt;item&gt;11123&lt;/item&gt;&lt;item&gt;11124&lt;/item&gt;&lt;item&gt;11125&lt;/item&gt;&lt;item&gt;11126&lt;/item&gt;&lt;item&gt;11127&lt;/item&gt;&lt;item&gt;11128&lt;/item&gt;&lt;item&gt;11129&lt;/item&gt;&lt;item&gt;11130&lt;/item&gt;&lt;item&gt;11131&lt;/item&gt;&lt;item&gt;11132&lt;/item&gt;&lt;item&gt;11133&lt;/item&gt;&lt;item&gt;11134&lt;/item&gt;&lt;item&gt;11136&lt;/item&gt;&lt;item&gt;11137&lt;/item&gt;&lt;item&gt;11138&lt;/item&gt;&lt;/record-ids&gt;&lt;/item&gt;&lt;/Libraries&gt;"/>
  </w:docVars>
  <w:rsids>
    <w:rsidRoot w:val="00AE0615"/>
    <w:rsid w:val="000012C5"/>
    <w:rsid w:val="00003F8D"/>
    <w:rsid w:val="000070C4"/>
    <w:rsid w:val="000117E9"/>
    <w:rsid w:val="00011846"/>
    <w:rsid w:val="00012F42"/>
    <w:rsid w:val="00013CD1"/>
    <w:rsid w:val="00016C63"/>
    <w:rsid w:val="00020E97"/>
    <w:rsid w:val="000230B7"/>
    <w:rsid w:val="0002565E"/>
    <w:rsid w:val="00026279"/>
    <w:rsid w:val="000305FA"/>
    <w:rsid w:val="00031343"/>
    <w:rsid w:val="00036FF6"/>
    <w:rsid w:val="00042DC1"/>
    <w:rsid w:val="00043C59"/>
    <w:rsid w:val="0004643C"/>
    <w:rsid w:val="00046E7B"/>
    <w:rsid w:val="000478E7"/>
    <w:rsid w:val="000608FB"/>
    <w:rsid w:val="00066897"/>
    <w:rsid w:val="00074A99"/>
    <w:rsid w:val="00074DB9"/>
    <w:rsid w:val="00083A2A"/>
    <w:rsid w:val="00087A74"/>
    <w:rsid w:val="00094B33"/>
    <w:rsid w:val="000A0801"/>
    <w:rsid w:val="000A3404"/>
    <w:rsid w:val="000A73B4"/>
    <w:rsid w:val="000A7AEF"/>
    <w:rsid w:val="000B3114"/>
    <w:rsid w:val="000C0301"/>
    <w:rsid w:val="000C1055"/>
    <w:rsid w:val="000C1901"/>
    <w:rsid w:val="000C64F5"/>
    <w:rsid w:val="000C6CA4"/>
    <w:rsid w:val="000E018E"/>
    <w:rsid w:val="000E5D96"/>
    <w:rsid w:val="000F1F10"/>
    <w:rsid w:val="000F6746"/>
    <w:rsid w:val="00100957"/>
    <w:rsid w:val="00102338"/>
    <w:rsid w:val="00102458"/>
    <w:rsid w:val="00105908"/>
    <w:rsid w:val="00121F48"/>
    <w:rsid w:val="00125E50"/>
    <w:rsid w:val="00126550"/>
    <w:rsid w:val="00130A4B"/>
    <w:rsid w:val="0013613C"/>
    <w:rsid w:val="0015715A"/>
    <w:rsid w:val="00160FE6"/>
    <w:rsid w:val="00162FD5"/>
    <w:rsid w:val="00163570"/>
    <w:rsid w:val="00164221"/>
    <w:rsid w:val="00165705"/>
    <w:rsid w:val="00165881"/>
    <w:rsid w:val="00165938"/>
    <w:rsid w:val="0016711B"/>
    <w:rsid w:val="001679A7"/>
    <w:rsid w:val="00170DD5"/>
    <w:rsid w:val="00174B36"/>
    <w:rsid w:val="001770A9"/>
    <w:rsid w:val="00184331"/>
    <w:rsid w:val="00190988"/>
    <w:rsid w:val="001909D8"/>
    <w:rsid w:val="00190B52"/>
    <w:rsid w:val="00194A9D"/>
    <w:rsid w:val="00194B83"/>
    <w:rsid w:val="0019515A"/>
    <w:rsid w:val="001A16B1"/>
    <w:rsid w:val="001A30C6"/>
    <w:rsid w:val="001A419D"/>
    <w:rsid w:val="001A519C"/>
    <w:rsid w:val="001A5E99"/>
    <w:rsid w:val="001B6D35"/>
    <w:rsid w:val="001C3E39"/>
    <w:rsid w:val="001C5277"/>
    <w:rsid w:val="001C5B91"/>
    <w:rsid w:val="001C6246"/>
    <w:rsid w:val="001D0E87"/>
    <w:rsid w:val="001D7D82"/>
    <w:rsid w:val="001E04B0"/>
    <w:rsid w:val="001E0905"/>
    <w:rsid w:val="001E1F4D"/>
    <w:rsid w:val="001E7F26"/>
    <w:rsid w:val="001F1974"/>
    <w:rsid w:val="001F249E"/>
    <w:rsid w:val="001F2A69"/>
    <w:rsid w:val="001F6090"/>
    <w:rsid w:val="001F6D10"/>
    <w:rsid w:val="002024C1"/>
    <w:rsid w:val="0020641C"/>
    <w:rsid w:val="00211843"/>
    <w:rsid w:val="00216CE6"/>
    <w:rsid w:val="00222F39"/>
    <w:rsid w:val="00230E26"/>
    <w:rsid w:val="00236BB3"/>
    <w:rsid w:val="00242320"/>
    <w:rsid w:val="002618C0"/>
    <w:rsid w:val="002619C8"/>
    <w:rsid w:val="00271B22"/>
    <w:rsid w:val="002729F7"/>
    <w:rsid w:val="00275949"/>
    <w:rsid w:val="002771CE"/>
    <w:rsid w:val="0028344D"/>
    <w:rsid w:val="00285594"/>
    <w:rsid w:val="002A0008"/>
    <w:rsid w:val="002B01C5"/>
    <w:rsid w:val="002B56A3"/>
    <w:rsid w:val="002B6606"/>
    <w:rsid w:val="002C3131"/>
    <w:rsid w:val="002C6F6B"/>
    <w:rsid w:val="002D135C"/>
    <w:rsid w:val="002D41A0"/>
    <w:rsid w:val="002D4791"/>
    <w:rsid w:val="002D7914"/>
    <w:rsid w:val="002E16FF"/>
    <w:rsid w:val="002F1B69"/>
    <w:rsid w:val="002F3683"/>
    <w:rsid w:val="0030141D"/>
    <w:rsid w:val="003069C7"/>
    <w:rsid w:val="003101D6"/>
    <w:rsid w:val="00313BAE"/>
    <w:rsid w:val="003309E5"/>
    <w:rsid w:val="003365D4"/>
    <w:rsid w:val="003428AC"/>
    <w:rsid w:val="003476E7"/>
    <w:rsid w:val="003508BB"/>
    <w:rsid w:val="00354635"/>
    <w:rsid w:val="0035602D"/>
    <w:rsid w:val="003660EF"/>
    <w:rsid w:val="00366F3A"/>
    <w:rsid w:val="00374F89"/>
    <w:rsid w:val="00386CF0"/>
    <w:rsid w:val="003901CD"/>
    <w:rsid w:val="00390BA0"/>
    <w:rsid w:val="003A161C"/>
    <w:rsid w:val="003A1C4E"/>
    <w:rsid w:val="003A20AB"/>
    <w:rsid w:val="003A5497"/>
    <w:rsid w:val="003B4E01"/>
    <w:rsid w:val="003D063D"/>
    <w:rsid w:val="003D37D8"/>
    <w:rsid w:val="003D4C54"/>
    <w:rsid w:val="003D4DFE"/>
    <w:rsid w:val="003D4F74"/>
    <w:rsid w:val="003E50FF"/>
    <w:rsid w:val="003F1B09"/>
    <w:rsid w:val="003F7C53"/>
    <w:rsid w:val="00402675"/>
    <w:rsid w:val="00404C81"/>
    <w:rsid w:val="00415EEB"/>
    <w:rsid w:val="00417F19"/>
    <w:rsid w:val="00430539"/>
    <w:rsid w:val="004315C1"/>
    <w:rsid w:val="00433399"/>
    <w:rsid w:val="00433E7B"/>
    <w:rsid w:val="0043402D"/>
    <w:rsid w:val="00435BE0"/>
    <w:rsid w:val="00437A49"/>
    <w:rsid w:val="00440FCD"/>
    <w:rsid w:val="00442066"/>
    <w:rsid w:val="0044513B"/>
    <w:rsid w:val="00450EA3"/>
    <w:rsid w:val="004630E9"/>
    <w:rsid w:val="00465EBB"/>
    <w:rsid w:val="0046722B"/>
    <w:rsid w:val="00467BBA"/>
    <w:rsid w:val="004702A4"/>
    <w:rsid w:val="00472CEB"/>
    <w:rsid w:val="004760ED"/>
    <w:rsid w:val="004771F5"/>
    <w:rsid w:val="00477652"/>
    <w:rsid w:val="00482845"/>
    <w:rsid w:val="00483030"/>
    <w:rsid w:val="004830E9"/>
    <w:rsid w:val="00483689"/>
    <w:rsid w:val="004854E3"/>
    <w:rsid w:val="00492E65"/>
    <w:rsid w:val="004950CA"/>
    <w:rsid w:val="004A02A7"/>
    <w:rsid w:val="004A0C03"/>
    <w:rsid w:val="004A7471"/>
    <w:rsid w:val="004B39F6"/>
    <w:rsid w:val="004B6C8C"/>
    <w:rsid w:val="004C2600"/>
    <w:rsid w:val="004C61C0"/>
    <w:rsid w:val="004C6B9E"/>
    <w:rsid w:val="004D0028"/>
    <w:rsid w:val="004D14B2"/>
    <w:rsid w:val="004D2A26"/>
    <w:rsid w:val="004D3560"/>
    <w:rsid w:val="004D4635"/>
    <w:rsid w:val="004D47BD"/>
    <w:rsid w:val="004D55A8"/>
    <w:rsid w:val="004D61F5"/>
    <w:rsid w:val="004E1C65"/>
    <w:rsid w:val="004E2184"/>
    <w:rsid w:val="004E2412"/>
    <w:rsid w:val="004E3701"/>
    <w:rsid w:val="004E4F53"/>
    <w:rsid w:val="004E5594"/>
    <w:rsid w:val="004E6BC3"/>
    <w:rsid w:val="004E6E96"/>
    <w:rsid w:val="004F6D83"/>
    <w:rsid w:val="0050030C"/>
    <w:rsid w:val="005008CF"/>
    <w:rsid w:val="00501B0F"/>
    <w:rsid w:val="00501B46"/>
    <w:rsid w:val="0050240B"/>
    <w:rsid w:val="005044D8"/>
    <w:rsid w:val="00512F2B"/>
    <w:rsid w:val="005214AD"/>
    <w:rsid w:val="005257EA"/>
    <w:rsid w:val="00525B1D"/>
    <w:rsid w:val="00526101"/>
    <w:rsid w:val="00527521"/>
    <w:rsid w:val="0053421C"/>
    <w:rsid w:val="00536D75"/>
    <w:rsid w:val="005377C0"/>
    <w:rsid w:val="0054622E"/>
    <w:rsid w:val="00546E3A"/>
    <w:rsid w:val="005502FD"/>
    <w:rsid w:val="00555877"/>
    <w:rsid w:val="005571A5"/>
    <w:rsid w:val="0056146A"/>
    <w:rsid w:val="0056388A"/>
    <w:rsid w:val="005654A0"/>
    <w:rsid w:val="00565724"/>
    <w:rsid w:val="0057014E"/>
    <w:rsid w:val="00572309"/>
    <w:rsid w:val="005736C2"/>
    <w:rsid w:val="00582376"/>
    <w:rsid w:val="00585B6D"/>
    <w:rsid w:val="00590EDE"/>
    <w:rsid w:val="00596426"/>
    <w:rsid w:val="005A1E5A"/>
    <w:rsid w:val="005A3FA1"/>
    <w:rsid w:val="005B5AFF"/>
    <w:rsid w:val="005C04D8"/>
    <w:rsid w:val="005C20CD"/>
    <w:rsid w:val="005C42E8"/>
    <w:rsid w:val="005C5CF4"/>
    <w:rsid w:val="005C74EB"/>
    <w:rsid w:val="005C7AE3"/>
    <w:rsid w:val="005D0647"/>
    <w:rsid w:val="005D2873"/>
    <w:rsid w:val="005E0EC1"/>
    <w:rsid w:val="005E78D2"/>
    <w:rsid w:val="005E7D86"/>
    <w:rsid w:val="005F664C"/>
    <w:rsid w:val="006051D2"/>
    <w:rsid w:val="006052D1"/>
    <w:rsid w:val="00615847"/>
    <w:rsid w:val="00616914"/>
    <w:rsid w:val="00617892"/>
    <w:rsid w:val="00622AF7"/>
    <w:rsid w:val="0063232C"/>
    <w:rsid w:val="00632C8B"/>
    <w:rsid w:val="00637991"/>
    <w:rsid w:val="0064093B"/>
    <w:rsid w:val="00640E80"/>
    <w:rsid w:val="006462B2"/>
    <w:rsid w:val="00650609"/>
    <w:rsid w:val="006543A6"/>
    <w:rsid w:val="00654A86"/>
    <w:rsid w:val="00655600"/>
    <w:rsid w:val="00657A78"/>
    <w:rsid w:val="00660ED0"/>
    <w:rsid w:val="006625DC"/>
    <w:rsid w:val="00670F8E"/>
    <w:rsid w:val="006740F9"/>
    <w:rsid w:val="0067684A"/>
    <w:rsid w:val="00680143"/>
    <w:rsid w:val="0068064A"/>
    <w:rsid w:val="006862E6"/>
    <w:rsid w:val="006A1B0F"/>
    <w:rsid w:val="006A73E0"/>
    <w:rsid w:val="006A7D7C"/>
    <w:rsid w:val="006B327E"/>
    <w:rsid w:val="006B5868"/>
    <w:rsid w:val="006B5D66"/>
    <w:rsid w:val="006C3EEB"/>
    <w:rsid w:val="006C574A"/>
    <w:rsid w:val="006D1E62"/>
    <w:rsid w:val="006D6812"/>
    <w:rsid w:val="006E2AF9"/>
    <w:rsid w:val="006E406E"/>
    <w:rsid w:val="006F20C6"/>
    <w:rsid w:val="006F4014"/>
    <w:rsid w:val="006F5DCA"/>
    <w:rsid w:val="0071621F"/>
    <w:rsid w:val="00720202"/>
    <w:rsid w:val="00725159"/>
    <w:rsid w:val="00732C46"/>
    <w:rsid w:val="00743FE9"/>
    <w:rsid w:val="00744FFA"/>
    <w:rsid w:val="0074632E"/>
    <w:rsid w:val="0075438F"/>
    <w:rsid w:val="00757216"/>
    <w:rsid w:val="00757288"/>
    <w:rsid w:val="00757477"/>
    <w:rsid w:val="007617FA"/>
    <w:rsid w:val="00783224"/>
    <w:rsid w:val="00783E65"/>
    <w:rsid w:val="00784092"/>
    <w:rsid w:val="00785222"/>
    <w:rsid w:val="00785610"/>
    <w:rsid w:val="00790C19"/>
    <w:rsid w:val="00790DB3"/>
    <w:rsid w:val="0079117E"/>
    <w:rsid w:val="00793E4E"/>
    <w:rsid w:val="007A5554"/>
    <w:rsid w:val="007A5633"/>
    <w:rsid w:val="007A57E3"/>
    <w:rsid w:val="007A5F87"/>
    <w:rsid w:val="007B1B3A"/>
    <w:rsid w:val="007B5D58"/>
    <w:rsid w:val="007B6672"/>
    <w:rsid w:val="007B6DBB"/>
    <w:rsid w:val="007C1066"/>
    <w:rsid w:val="007C339B"/>
    <w:rsid w:val="007C34C3"/>
    <w:rsid w:val="007C557C"/>
    <w:rsid w:val="007C6308"/>
    <w:rsid w:val="007D0C99"/>
    <w:rsid w:val="007D2E48"/>
    <w:rsid w:val="007D4FFE"/>
    <w:rsid w:val="007D7399"/>
    <w:rsid w:val="007E52F2"/>
    <w:rsid w:val="007F0E41"/>
    <w:rsid w:val="007F45BE"/>
    <w:rsid w:val="008038D4"/>
    <w:rsid w:val="00804624"/>
    <w:rsid w:val="00806487"/>
    <w:rsid w:val="00806A21"/>
    <w:rsid w:val="00810437"/>
    <w:rsid w:val="0082578F"/>
    <w:rsid w:val="008270D6"/>
    <w:rsid w:val="00834197"/>
    <w:rsid w:val="008359F7"/>
    <w:rsid w:val="00847042"/>
    <w:rsid w:val="00847778"/>
    <w:rsid w:val="00847D63"/>
    <w:rsid w:val="00850119"/>
    <w:rsid w:val="008529B1"/>
    <w:rsid w:val="00856FA8"/>
    <w:rsid w:val="0086073A"/>
    <w:rsid w:val="00862F1B"/>
    <w:rsid w:val="0086701B"/>
    <w:rsid w:val="008734D0"/>
    <w:rsid w:val="00876164"/>
    <w:rsid w:val="008775E9"/>
    <w:rsid w:val="00883591"/>
    <w:rsid w:val="00884451"/>
    <w:rsid w:val="00887180"/>
    <w:rsid w:val="00892F5E"/>
    <w:rsid w:val="00896F4A"/>
    <w:rsid w:val="008A3D89"/>
    <w:rsid w:val="008A4BE1"/>
    <w:rsid w:val="008A6745"/>
    <w:rsid w:val="008B18A2"/>
    <w:rsid w:val="008B1ADE"/>
    <w:rsid w:val="008B36E6"/>
    <w:rsid w:val="008C7C80"/>
    <w:rsid w:val="008C7CEF"/>
    <w:rsid w:val="008D4874"/>
    <w:rsid w:val="008D5081"/>
    <w:rsid w:val="008D6AAD"/>
    <w:rsid w:val="008E2DA6"/>
    <w:rsid w:val="008F381D"/>
    <w:rsid w:val="00902720"/>
    <w:rsid w:val="0091249B"/>
    <w:rsid w:val="00920454"/>
    <w:rsid w:val="00922DAD"/>
    <w:rsid w:val="00937054"/>
    <w:rsid w:val="009464FC"/>
    <w:rsid w:val="00954643"/>
    <w:rsid w:val="00961864"/>
    <w:rsid w:val="009745C5"/>
    <w:rsid w:val="00983375"/>
    <w:rsid w:val="00986F69"/>
    <w:rsid w:val="00991566"/>
    <w:rsid w:val="00991E8B"/>
    <w:rsid w:val="00994DA7"/>
    <w:rsid w:val="00997E43"/>
    <w:rsid w:val="009A0807"/>
    <w:rsid w:val="009A08F3"/>
    <w:rsid w:val="009A2515"/>
    <w:rsid w:val="009A3CED"/>
    <w:rsid w:val="009B4B09"/>
    <w:rsid w:val="009B6029"/>
    <w:rsid w:val="009B6D67"/>
    <w:rsid w:val="009D40EA"/>
    <w:rsid w:val="009D6BAE"/>
    <w:rsid w:val="009D6DA7"/>
    <w:rsid w:val="009E384B"/>
    <w:rsid w:val="009E4533"/>
    <w:rsid w:val="009E611E"/>
    <w:rsid w:val="009F64A7"/>
    <w:rsid w:val="009F74C5"/>
    <w:rsid w:val="00A0172E"/>
    <w:rsid w:val="00A048D4"/>
    <w:rsid w:val="00A065FD"/>
    <w:rsid w:val="00A10061"/>
    <w:rsid w:val="00A1054E"/>
    <w:rsid w:val="00A1142B"/>
    <w:rsid w:val="00A12D51"/>
    <w:rsid w:val="00A14C39"/>
    <w:rsid w:val="00A16D84"/>
    <w:rsid w:val="00A23799"/>
    <w:rsid w:val="00A241C5"/>
    <w:rsid w:val="00A25054"/>
    <w:rsid w:val="00A27630"/>
    <w:rsid w:val="00A401AA"/>
    <w:rsid w:val="00A42802"/>
    <w:rsid w:val="00A51FCD"/>
    <w:rsid w:val="00A5511F"/>
    <w:rsid w:val="00A574CF"/>
    <w:rsid w:val="00A57B8A"/>
    <w:rsid w:val="00A627D5"/>
    <w:rsid w:val="00A67A42"/>
    <w:rsid w:val="00A73871"/>
    <w:rsid w:val="00A73AAC"/>
    <w:rsid w:val="00A75CB4"/>
    <w:rsid w:val="00A762CC"/>
    <w:rsid w:val="00A80504"/>
    <w:rsid w:val="00A95E5B"/>
    <w:rsid w:val="00A96B68"/>
    <w:rsid w:val="00AA20A7"/>
    <w:rsid w:val="00AB1054"/>
    <w:rsid w:val="00AB367C"/>
    <w:rsid w:val="00AB385B"/>
    <w:rsid w:val="00AB458D"/>
    <w:rsid w:val="00AB6EC2"/>
    <w:rsid w:val="00AB7C5B"/>
    <w:rsid w:val="00AC3B5E"/>
    <w:rsid w:val="00AC7BB9"/>
    <w:rsid w:val="00AD1496"/>
    <w:rsid w:val="00AD2738"/>
    <w:rsid w:val="00AD55CF"/>
    <w:rsid w:val="00AE0615"/>
    <w:rsid w:val="00AE40B1"/>
    <w:rsid w:val="00AF04D3"/>
    <w:rsid w:val="00AF1A59"/>
    <w:rsid w:val="00AF1E5C"/>
    <w:rsid w:val="00AF7F1A"/>
    <w:rsid w:val="00B025B2"/>
    <w:rsid w:val="00B05C62"/>
    <w:rsid w:val="00B078F3"/>
    <w:rsid w:val="00B10E7E"/>
    <w:rsid w:val="00B12175"/>
    <w:rsid w:val="00B166DC"/>
    <w:rsid w:val="00B16E1C"/>
    <w:rsid w:val="00B2216D"/>
    <w:rsid w:val="00B2513D"/>
    <w:rsid w:val="00B30221"/>
    <w:rsid w:val="00B31BC1"/>
    <w:rsid w:val="00B36100"/>
    <w:rsid w:val="00B45228"/>
    <w:rsid w:val="00B5000F"/>
    <w:rsid w:val="00B57FE3"/>
    <w:rsid w:val="00B71716"/>
    <w:rsid w:val="00B722A6"/>
    <w:rsid w:val="00B749F5"/>
    <w:rsid w:val="00B80FC6"/>
    <w:rsid w:val="00B839CB"/>
    <w:rsid w:val="00B83D69"/>
    <w:rsid w:val="00B95350"/>
    <w:rsid w:val="00B95569"/>
    <w:rsid w:val="00BA0C28"/>
    <w:rsid w:val="00BA24B5"/>
    <w:rsid w:val="00BA3DE3"/>
    <w:rsid w:val="00BA77D2"/>
    <w:rsid w:val="00BB2FD9"/>
    <w:rsid w:val="00BB33A2"/>
    <w:rsid w:val="00BC40CE"/>
    <w:rsid w:val="00BD04AF"/>
    <w:rsid w:val="00BE046E"/>
    <w:rsid w:val="00BE0F9C"/>
    <w:rsid w:val="00BE1055"/>
    <w:rsid w:val="00BE27DC"/>
    <w:rsid w:val="00BE6FA7"/>
    <w:rsid w:val="00BF7749"/>
    <w:rsid w:val="00C02A22"/>
    <w:rsid w:val="00C064F0"/>
    <w:rsid w:val="00C06934"/>
    <w:rsid w:val="00C100DA"/>
    <w:rsid w:val="00C115E8"/>
    <w:rsid w:val="00C126BA"/>
    <w:rsid w:val="00C146D1"/>
    <w:rsid w:val="00C20CE1"/>
    <w:rsid w:val="00C213E9"/>
    <w:rsid w:val="00C25924"/>
    <w:rsid w:val="00C318BB"/>
    <w:rsid w:val="00C323A2"/>
    <w:rsid w:val="00C33314"/>
    <w:rsid w:val="00C471C2"/>
    <w:rsid w:val="00C54A1C"/>
    <w:rsid w:val="00C60184"/>
    <w:rsid w:val="00C62EA5"/>
    <w:rsid w:val="00C63187"/>
    <w:rsid w:val="00C77339"/>
    <w:rsid w:val="00C81815"/>
    <w:rsid w:val="00C84767"/>
    <w:rsid w:val="00C85240"/>
    <w:rsid w:val="00C874BA"/>
    <w:rsid w:val="00C87728"/>
    <w:rsid w:val="00C87964"/>
    <w:rsid w:val="00C926A9"/>
    <w:rsid w:val="00CA3398"/>
    <w:rsid w:val="00CA4E73"/>
    <w:rsid w:val="00CA7EFA"/>
    <w:rsid w:val="00CB020F"/>
    <w:rsid w:val="00CB0617"/>
    <w:rsid w:val="00CB4C53"/>
    <w:rsid w:val="00CC5969"/>
    <w:rsid w:val="00CC6A58"/>
    <w:rsid w:val="00CD0C3C"/>
    <w:rsid w:val="00CD249C"/>
    <w:rsid w:val="00CD2BC1"/>
    <w:rsid w:val="00CD51A2"/>
    <w:rsid w:val="00CF0F08"/>
    <w:rsid w:val="00CF23C2"/>
    <w:rsid w:val="00CF7544"/>
    <w:rsid w:val="00D02F8A"/>
    <w:rsid w:val="00D067C2"/>
    <w:rsid w:val="00D06CDE"/>
    <w:rsid w:val="00D21367"/>
    <w:rsid w:val="00D2211F"/>
    <w:rsid w:val="00D3110A"/>
    <w:rsid w:val="00D31419"/>
    <w:rsid w:val="00D31CA5"/>
    <w:rsid w:val="00D31DDC"/>
    <w:rsid w:val="00D335C1"/>
    <w:rsid w:val="00D34BC9"/>
    <w:rsid w:val="00D35644"/>
    <w:rsid w:val="00D509D8"/>
    <w:rsid w:val="00D5124A"/>
    <w:rsid w:val="00D5291D"/>
    <w:rsid w:val="00D5317D"/>
    <w:rsid w:val="00D53906"/>
    <w:rsid w:val="00D54B66"/>
    <w:rsid w:val="00D55C55"/>
    <w:rsid w:val="00D63B86"/>
    <w:rsid w:val="00D64EFA"/>
    <w:rsid w:val="00D70FE7"/>
    <w:rsid w:val="00D72E4E"/>
    <w:rsid w:val="00D72FDC"/>
    <w:rsid w:val="00D73D7D"/>
    <w:rsid w:val="00D80C30"/>
    <w:rsid w:val="00D83D0F"/>
    <w:rsid w:val="00D844D2"/>
    <w:rsid w:val="00D844F5"/>
    <w:rsid w:val="00D9105D"/>
    <w:rsid w:val="00D942E3"/>
    <w:rsid w:val="00DA0911"/>
    <w:rsid w:val="00DA333A"/>
    <w:rsid w:val="00DB2C41"/>
    <w:rsid w:val="00DC0B7E"/>
    <w:rsid w:val="00DC2B10"/>
    <w:rsid w:val="00DC6EAF"/>
    <w:rsid w:val="00DD0FDC"/>
    <w:rsid w:val="00DD507E"/>
    <w:rsid w:val="00DD5EF8"/>
    <w:rsid w:val="00DE1B6D"/>
    <w:rsid w:val="00DE2A5A"/>
    <w:rsid w:val="00DE7289"/>
    <w:rsid w:val="00DF5991"/>
    <w:rsid w:val="00DF60CE"/>
    <w:rsid w:val="00E009C4"/>
    <w:rsid w:val="00E024D1"/>
    <w:rsid w:val="00E025FD"/>
    <w:rsid w:val="00E05DD4"/>
    <w:rsid w:val="00E06699"/>
    <w:rsid w:val="00E11442"/>
    <w:rsid w:val="00E15972"/>
    <w:rsid w:val="00E16BE9"/>
    <w:rsid w:val="00E23B02"/>
    <w:rsid w:val="00E25A7C"/>
    <w:rsid w:val="00E2675B"/>
    <w:rsid w:val="00E31416"/>
    <w:rsid w:val="00E33F22"/>
    <w:rsid w:val="00E4357E"/>
    <w:rsid w:val="00E4408D"/>
    <w:rsid w:val="00E4485E"/>
    <w:rsid w:val="00E46D16"/>
    <w:rsid w:val="00E479B3"/>
    <w:rsid w:val="00E47A4E"/>
    <w:rsid w:val="00E50AA9"/>
    <w:rsid w:val="00E57D80"/>
    <w:rsid w:val="00E6087D"/>
    <w:rsid w:val="00E6598F"/>
    <w:rsid w:val="00E6635C"/>
    <w:rsid w:val="00E73AC6"/>
    <w:rsid w:val="00E75203"/>
    <w:rsid w:val="00E863F3"/>
    <w:rsid w:val="00E87B02"/>
    <w:rsid w:val="00E95998"/>
    <w:rsid w:val="00E96E56"/>
    <w:rsid w:val="00E9749A"/>
    <w:rsid w:val="00EA2EE4"/>
    <w:rsid w:val="00EB274F"/>
    <w:rsid w:val="00EB6646"/>
    <w:rsid w:val="00EC0CA1"/>
    <w:rsid w:val="00EC45A1"/>
    <w:rsid w:val="00EC5C80"/>
    <w:rsid w:val="00EC655D"/>
    <w:rsid w:val="00ED3C26"/>
    <w:rsid w:val="00ED3C38"/>
    <w:rsid w:val="00ED5847"/>
    <w:rsid w:val="00EE0247"/>
    <w:rsid w:val="00EE54A9"/>
    <w:rsid w:val="00EE774B"/>
    <w:rsid w:val="00EF1414"/>
    <w:rsid w:val="00EF1519"/>
    <w:rsid w:val="00EF5978"/>
    <w:rsid w:val="00EF5B20"/>
    <w:rsid w:val="00F04105"/>
    <w:rsid w:val="00F06087"/>
    <w:rsid w:val="00F1492F"/>
    <w:rsid w:val="00F22DAF"/>
    <w:rsid w:val="00F32401"/>
    <w:rsid w:val="00F33DFC"/>
    <w:rsid w:val="00F34C14"/>
    <w:rsid w:val="00F43806"/>
    <w:rsid w:val="00F43B9C"/>
    <w:rsid w:val="00F44DCE"/>
    <w:rsid w:val="00F46B6D"/>
    <w:rsid w:val="00F5201C"/>
    <w:rsid w:val="00F55B67"/>
    <w:rsid w:val="00F55FAA"/>
    <w:rsid w:val="00F5736D"/>
    <w:rsid w:val="00F7313C"/>
    <w:rsid w:val="00F732AD"/>
    <w:rsid w:val="00F75419"/>
    <w:rsid w:val="00F769D5"/>
    <w:rsid w:val="00F82578"/>
    <w:rsid w:val="00F82702"/>
    <w:rsid w:val="00F8671F"/>
    <w:rsid w:val="00FA241F"/>
    <w:rsid w:val="00FA7614"/>
    <w:rsid w:val="00FB0ABF"/>
    <w:rsid w:val="00FC185A"/>
    <w:rsid w:val="00FC35CC"/>
    <w:rsid w:val="00FD1540"/>
    <w:rsid w:val="00FD4B94"/>
    <w:rsid w:val="00FD5D05"/>
    <w:rsid w:val="00FD6518"/>
    <w:rsid w:val="00FE1AAC"/>
    <w:rsid w:val="00FE4DEA"/>
    <w:rsid w:val="00FE6082"/>
    <w:rsid w:val="00FF259F"/>
    <w:rsid w:val="00FF58F6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E504F"/>
  <w15:chartTrackingRefBased/>
  <w15:docId w15:val="{00349548-4268-4DC1-99A2-9151EBA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1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41F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0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61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15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4704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704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4704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47042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847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4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6178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178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2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3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38"/>
  </w:style>
  <w:style w:type="paragraph" w:styleId="Footer">
    <w:name w:val="footer"/>
    <w:basedOn w:val="Normal"/>
    <w:link w:val="FooterChar"/>
    <w:uiPriority w:val="99"/>
    <w:unhideWhenUsed/>
    <w:rsid w:val="00ED3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38"/>
  </w:style>
  <w:style w:type="paragraph" w:customStyle="1" w:styleId="xmsonormal">
    <w:name w:val="x_msonormal"/>
    <w:basedOn w:val="Normal"/>
    <w:rsid w:val="00E4357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link w:val="NormalWebChar"/>
    <w:uiPriority w:val="99"/>
    <w:unhideWhenUsed/>
    <w:rsid w:val="00BA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BA24B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594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E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A241F"/>
    <w:rPr>
      <w:rFonts w:ascii="Arial" w:eastAsiaTheme="majorEastAsia" w:hAnsi="Arial" w:cstheme="majorBidi"/>
      <w:color w:val="000000" w:themeColor="text1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A2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A2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1">
    <w:name w:val="Subtitle1"/>
    <w:basedOn w:val="DefaultParagraphFont"/>
    <w:rsid w:val="00D21367"/>
  </w:style>
  <w:style w:type="character" w:customStyle="1" w:styleId="colon-for-citation-subtitle">
    <w:name w:val="colon-for-citation-subtitle"/>
    <w:basedOn w:val="DefaultParagraphFont"/>
    <w:rsid w:val="00D21367"/>
  </w:style>
  <w:style w:type="character" w:styleId="Emphasis">
    <w:name w:val="Emphasis"/>
    <w:basedOn w:val="DefaultParagraphFont"/>
    <w:uiPriority w:val="20"/>
    <w:qFormat/>
    <w:rsid w:val="00D21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23C6-DC86-435A-959B-555FA1A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Mayhew, Meghan H</dc:creator>
  <cp:keywords/>
  <dc:description/>
  <cp:lastModifiedBy>Debbie Kendall</cp:lastModifiedBy>
  <cp:revision>2</cp:revision>
  <dcterms:created xsi:type="dcterms:W3CDTF">2022-02-19T20:00:00Z</dcterms:created>
  <dcterms:modified xsi:type="dcterms:W3CDTF">2022-02-19T20:00:00Z</dcterms:modified>
</cp:coreProperties>
</file>