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20D13" w14:textId="51DF1C5E" w:rsidR="00743CFF" w:rsidRPr="006F192F" w:rsidRDefault="00FB69B1" w:rsidP="009A32D0">
      <w:pPr>
        <w:pStyle w:val="NoSpacing"/>
        <w:rPr>
          <w:rFonts w:ascii="Arial" w:hAnsi="Arial" w:cs="Arial"/>
          <w:b/>
          <w:u w:val="single"/>
        </w:rPr>
      </w:pPr>
      <w:r>
        <w:rPr>
          <w:rFonts w:ascii="Arial" w:hAnsi="Arial" w:cs="Arial"/>
          <w:b/>
          <w:u w:val="single"/>
        </w:rPr>
        <w:t xml:space="preserve">Supplementary </w:t>
      </w:r>
      <w:r w:rsidR="00BC04B2" w:rsidRPr="006F192F">
        <w:rPr>
          <w:rFonts w:ascii="Arial" w:hAnsi="Arial" w:cs="Arial"/>
          <w:b/>
          <w:u w:val="single"/>
        </w:rPr>
        <w:t>Appendix</w:t>
      </w:r>
    </w:p>
    <w:p w14:paraId="538B0FEF" w14:textId="77777777" w:rsidR="00BC04B2" w:rsidRPr="006F192F" w:rsidRDefault="00BC04B2" w:rsidP="009A32D0">
      <w:pPr>
        <w:pStyle w:val="NoSpacing"/>
        <w:rPr>
          <w:rFonts w:ascii="Arial" w:hAnsi="Arial" w:cs="Arial"/>
          <w:b/>
          <w:u w:val="single"/>
        </w:rPr>
      </w:pPr>
    </w:p>
    <w:p w14:paraId="5A456870" w14:textId="7A2E0CBE" w:rsidR="00FB69B1" w:rsidRDefault="00FB69B1" w:rsidP="00E36723">
      <w:pPr>
        <w:pStyle w:val="NoSpacing"/>
        <w:rPr>
          <w:rFonts w:ascii="Arial" w:hAnsi="Arial" w:cs="Arial"/>
          <w:b/>
        </w:rPr>
      </w:pPr>
      <w:r>
        <w:rPr>
          <w:rFonts w:ascii="Arial" w:hAnsi="Arial" w:cs="Arial"/>
          <w:b/>
        </w:rPr>
        <w:t>Description of Bariatric Cohort</w:t>
      </w:r>
    </w:p>
    <w:p w14:paraId="17872332" w14:textId="5B0AC1B9" w:rsidR="0048392E" w:rsidRPr="0048392E" w:rsidRDefault="0048392E" w:rsidP="0048392E">
      <w:pPr>
        <w:spacing w:line="240" w:lineRule="auto"/>
        <w:rPr>
          <w:rFonts w:ascii="Arial" w:hAnsi="Arial" w:cs="Arial"/>
        </w:rPr>
      </w:pPr>
      <w:r w:rsidRPr="0048392E">
        <w:rPr>
          <w:rFonts w:ascii="Arial" w:hAnsi="Arial" w:cs="Arial"/>
        </w:rPr>
        <w:t xml:space="preserve">The ENGAGE CVD cohort was assembled </w:t>
      </w:r>
      <w:r w:rsidRPr="0048392E">
        <w:rPr>
          <w:rFonts w:ascii="Arial" w:hAnsi="Arial" w:cs="Arial"/>
          <w:lang w:val="en"/>
        </w:rPr>
        <w:t xml:space="preserve">across 2009 - 2016 from a bariatric registry within a large integrated healthcare system serving the Southern California region of the US. This healthcare system had 4.2 million members, </w:t>
      </w:r>
      <w:r w:rsidRPr="0048392E">
        <w:rPr>
          <w:rFonts w:ascii="Arial" w:hAnsi="Arial" w:cs="Arial"/>
        </w:rPr>
        <w:t>14 hospitals, 200 medical offices, 5,700 physicians, and 23 bariatric surgeons at the time the cohort was assembled. Case ascertainment and verification for th</w:t>
      </w:r>
      <w:r>
        <w:rPr>
          <w:rFonts w:ascii="Arial" w:hAnsi="Arial" w:cs="Arial"/>
        </w:rPr>
        <w:t>e bariatric registry and thus the ENGAGE CVD</w:t>
      </w:r>
      <w:r w:rsidRPr="0048392E">
        <w:rPr>
          <w:rFonts w:ascii="Arial" w:hAnsi="Arial" w:cs="Arial"/>
        </w:rPr>
        <w:t xml:space="preserve"> cohort </w:t>
      </w:r>
      <w:r>
        <w:rPr>
          <w:rFonts w:ascii="Arial" w:hAnsi="Arial" w:cs="Arial"/>
        </w:rPr>
        <w:t>wa</w:t>
      </w:r>
      <w:r w:rsidRPr="0048392E">
        <w:rPr>
          <w:rFonts w:ascii="Arial" w:hAnsi="Arial" w:cs="Arial"/>
        </w:rPr>
        <w:t xml:space="preserve">s done in a variety of ways. Cases </w:t>
      </w:r>
      <w:r>
        <w:rPr>
          <w:rFonts w:ascii="Arial" w:hAnsi="Arial" w:cs="Arial"/>
        </w:rPr>
        <w:t>we</w:t>
      </w:r>
      <w:r w:rsidRPr="0048392E">
        <w:rPr>
          <w:rFonts w:ascii="Arial" w:hAnsi="Arial" w:cs="Arial"/>
        </w:rPr>
        <w:t xml:space="preserve">re included in the cohort in a stepwise fashion. The primary source </w:t>
      </w:r>
      <w:r>
        <w:rPr>
          <w:rFonts w:ascii="Arial" w:hAnsi="Arial" w:cs="Arial"/>
        </w:rPr>
        <w:t>was</w:t>
      </w:r>
      <w:r w:rsidRPr="0048392E">
        <w:rPr>
          <w:rFonts w:ascii="Arial" w:hAnsi="Arial" w:cs="Arial"/>
        </w:rPr>
        <w:t xml:space="preserve"> ele</w:t>
      </w:r>
      <w:r w:rsidR="00384E35">
        <w:rPr>
          <w:rFonts w:ascii="Arial" w:hAnsi="Arial" w:cs="Arial"/>
        </w:rPr>
        <w:t>c</w:t>
      </w:r>
      <w:r w:rsidRPr="0048392E">
        <w:rPr>
          <w:rFonts w:ascii="Arial" w:hAnsi="Arial" w:cs="Arial"/>
        </w:rPr>
        <w:t xml:space="preserve">tronic reports from care managers at both internal </w:t>
      </w:r>
      <w:r>
        <w:rPr>
          <w:rFonts w:ascii="Arial" w:hAnsi="Arial" w:cs="Arial"/>
        </w:rPr>
        <w:t>healthcare system</w:t>
      </w:r>
      <w:r w:rsidRPr="0048392E">
        <w:rPr>
          <w:rFonts w:ascii="Arial" w:hAnsi="Arial" w:cs="Arial"/>
        </w:rPr>
        <w:t xml:space="preserve"> hospitals and contracted medical groups. These </w:t>
      </w:r>
      <w:r>
        <w:rPr>
          <w:rFonts w:ascii="Arial" w:hAnsi="Arial" w:cs="Arial"/>
        </w:rPr>
        <w:t>we</w:t>
      </w:r>
      <w:r w:rsidRPr="0048392E">
        <w:rPr>
          <w:rFonts w:ascii="Arial" w:hAnsi="Arial" w:cs="Arial"/>
        </w:rPr>
        <w:t xml:space="preserve">re compared to and augmented by electronic medical records and outside medical claims databases which </w:t>
      </w:r>
      <w:r>
        <w:rPr>
          <w:rFonts w:ascii="Arial" w:hAnsi="Arial" w:cs="Arial"/>
        </w:rPr>
        <w:t>we</w:t>
      </w:r>
      <w:r w:rsidRPr="0048392E">
        <w:rPr>
          <w:rFonts w:ascii="Arial" w:hAnsi="Arial" w:cs="Arial"/>
        </w:rPr>
        <w:t xml:space="preserve">re considered secondary data sources. If there </w:t>
      </w:r>
      <w:r>
        <w:rPr>
          <w:rFonts w:ascii="Arial" w:hAnsi="Arial" w:cs="Arial"/>
        </w:rPr>
        <w:t>wa</w:t>
      </w:r>
      <w:r w:rsidRPr="0048392E">
        <w:rPr>
          <w:rFonts w:ascii="Arial" w:hAnsi="Arial" w:cs="Arial"/>
        </w:rPr>
        <w:t>s disagreement between the primary and secondary sources or the case only exist</w:t>
      </w:r>
      <w:r>
        <w:rPr>
          <w:rFonts w:ascii="Arial" w:hAnsi="Arial" w:cs="Arial"/>
        </w:rPr>
        <w:t>ed</w:t>
      </w:r>
      <w:r w:rsidRPr="0048392E">
        <w:rPr>
          <w:rFonts w:ascii="Arial" w:hAnsi="Arial" w:cs="Arial"/>
        </w:rPr>
        <w:t xml:space="preserve"> in a secondary source, the case </w:t>
      </w:r>
      <w:r>
        <w:rPr>
          <w:rFonts w:ascii="Arial" w:hAnsi="Arial" w:cs="Arial"/>
        </w:rPr>
        <w:t>wa</w:t>
      </w:r>
      <w:r w:rsidRPr="0048392E">
        <w:rPr>
          <w:rFonts w:ascii="Arial" w:hAnsi="Arial" w:cs="Arial"/>
        </w:rPr>
        <w:t xml:space="preserve">s manually chart reviewed for confirmation. </w:t>
      </w:r>
      <w:r>
        <w:rPr>
          <w:rFonts w:ascii="Arial" w:hAnsi="Arial" w:cs="Arial"/>
        </w:rPr>
        <w:t>If necessary, the cases were adjudicated by bariatric surgeons employed by the healthcare system.</w:t>
      </w:r>
    </w:p>
    <w:p w14:paraId="365DF06F" w14:textId="6D267042" w:rsidR="0048392E" w:rsidRDefault="0048392E" w:rsidP="0048392E">
      <w:pPr>
        <w:spacing w:line="240" w:lineRule="auto"/>
        <w:rPr>
          <w:rFonts w:ascii="Arial" w:hAnsi="Arial" w:cs="Arial"/>
        </w:rPr>
      </w:pPr>
      <w:r w:rsidRPr="0048392E">
        <w:rPr>
          <w:rFonts w:ascii="Arial" w:hAnsi="Arial" w:cs="Arial"/>
        </w:rPr>
        <w:t xml:space="preserve">Cases </w:t>
      </w:r>
      <w:r>
        <w:rPr>
          <w:rFonts w:ascii="Arial" w:hAnsi="Arial" w:cs="Arial"/>
        </w:rPr>
        <w:t>we</w:t>
      </w:r>
      <w:r w:rsidRPr="0048392E">
        <w:rPr>
          <w:rFonts w:ascii="Arial" w:hAnsi="Arial" w:cs="Arial"/>
        </w:rPr>
        <w:t xml:space="preserve">re obtained from secondary sources using medical billing codes for bariatric </w:t>
      </w:r>
      <w:r>
        <w:rPr>
          <w:rFonts w:ascii="Arial" w:hAnsi="Arial" w:cs="Arial"/>
        </w:rPr>
        <w:t>operations</w:t>
      </w:r>
      <w:r w:rsidRPr="0048392E">
        <w:rPr>
          <w:rFonts w:ascii="Arial" w:hAnsi="Arial" w:cs="Arial"/>
        </w:rPr>
        <w:t>.  A full list of these billing codes is available upon request. Validation of cases obtained only through secondary sources found a 9% false positive rate. This rate was reduced to 7% if a diagnosis of obesity was required at the time of surgery. Of those cases from secondary sources that were verified as bariatric surgery, 96% had a diagnosis of obesity and 8% - 33% had incorrect procedure codes</w:t>
      </w:r>
      <w:r>
        <w:rPr>
          <w:rFonts w:ascii="Arial" w:hAnsi="Arial" w:cs="Arial"/>
        </w:rPr>
        <w:t xml:space="preserve"> (i.e. they were verified as bariatric operations however they were not coded as the correct operation)</w:t>
      </w:r>
      <w:r w:rsidRPr="0048392E">
        <w:rPr>
          <w:rFonts w:ascii="Arial" w:hAnsi="Arial" w:cs="Arial"/>
        </w:rPr>
        <w:t xml:space="preserve">. </w:t>
      </w:r>
      <w:r>
        <w:rPr>
          <w:rFonts w:ascii="Arial" w:hAnsi="Arial" w:cs="Arial"/>
        </w:rPr>
        <w:t xml:space="preserve">The </w:t>
      </w:r>
      <w:r w:rsidRPr="0048392E">
        <w:rPr>
          <w:rFonts w:ascii="Arial" w:hAnsi="Arial" w:cs="Arial"/>
        </w:rPr>
        <w:t xml:space="preserve">SG </w:t>
      </w:r>
      <w:r>
        <w:rPr>
          <w:rFonts w:ascii="Arial" w:hAnsi="Arial" w:cs="Arial"/>
        </w:rPr>
        <w:t>operations</w:t>
      </w:r>
      <w:r w:rsidRPr="0048392E">
        <w:rPr>
          <w:rFonts w:ascii="Arial" w:hAnsi="Arial" w:cs="Arial"/>
        </w:rPr>
        <w:t xml:space="preserve"> ha</w:t>
      </w:r>
      <w:r>
        <w:rPr>
          <w:rFonts w:ascii="Arial" w:hAnsi="Arial" w:cs="Arial"/>
        </w:rPr>
        <w:t>d</w:t>
      </w:r>
      <w:r w:rsidRPr="0048392E">
        <w:rPr>
          <w:rFonts w:ascii="Arial" w:hAnsi="Arial" w:cs="Arial"/>
        </w:rPr>
        <w:t xml:space="preserve"> the lowest error rates in coding</w:t>
      </w:r>
      <w:r>
        <w:rPr>
          <w:rFonts w:ascii="Arial" w:hAnsi="Arial" w:cs="Arial"/>
        </w:rPr>
        <w:t xml:space="preserve"> and banding operations had the highest rates, with RYGB closer to SG error rates</w:t>
      </w:r>
      <w:r w:rsidRPr="0048392E">
        <w:rPr>
          <w:rFonts w:ascii="Arial" w:hAnsi="Arial" w:cs="Arial"/>
        </w:rPr>
        <w:t>.</w:t>
      </w:r>
    </w:p>
    <w:p w14:paraId="76AD9693" w14:textId="5A051B99" w:rsidR="0019405D" w:rsidRDefault="0019405D" w:rsidP="0048392E">
      <w:pPr>
        <w:spacing w:line="240" w:lineRule="auto"/>
        <w:rPr>
          <w:rFonts w:ascii="Arial" w:hAnsi="Arial" w:cs="Arial"/>
        </w:rPr>
      </w:pPr>
      <w:r>
        <w:rPr>
          <w:rFonts w:ascii="Arial" w:hAnsi="Arial" w:cs="Arial"/>
        </w:rPr>
        <w:t xml:space="preserve">The selection process for the current study is shown in Figure </w:t>
      </w:r>
      <w:r w:rsidRPr="00820E71">
        <w:rPr>
          <w:rFonts w:ascii="Arial" w:hAnsi="Arial" w:cs="Arial"/>
        </w:rPr>
        <w:t>S</w:t>
      </w:r>
      <w:r w:rsidR="00820E71">
        <w:rPr>
          <w:rFonts w:ascii="Arial" w:hAnsi="Arial" w:cs="Arial"/>
        </w:rPr>
        <w:t>1</w:t>
      </w:r>
      <w:r>
        <w:rPr>
          <w:rFonts w:ascii="Arial" w:hAnsi="Arial" w:cs="Arial"/>
        </w:rPr>
        <w:t xml:space="preserve"> and is detailed in the main manuscript.</w:t>
      </w:r>
    </w:p>
    <w:p w14:paraId="7E50212D" w14:textId="2EF034C7" w:rsidR="002903AF" w:rsidRDefault="002903AF" w:rsidP="002903AF">
      <w:pPr>
        <w:pStyle w:val="NoSpacing"/>
        <w:rPr>
          <w:rFonts w:ascii="Arial" w:hAnsi="Arial" w:cs="Arial"/>
          <w:b/>
        </w:rPr>
      </w:pPr>
      <w:r>
        <w:rPr>
          <w:rFonts w:ascii="Arial" w:hAnsi="Arial" w:cs="Arial"/>
          <w:b/>
        </w:rPr>
        <w:t>Diabetes Definition</w:t>
      </w:r>
    </w:p>
    <w:p w14:paraId="506E904F" w14:textId="34A5E968" w:rsidR="00E651C7" w:rsidRDefault="002903AF" w:rsidP="00E651C7">
      <w:pPr>
        <w:pStyle w:val="PlainText"/>
        <w:rPr>
          <w:rFonts w:ascii="Arial" w:hAnsi="Arial" w:cs="Arial"/>
          <w:szCs w:val="22"/>
        </w:rPr>
      </w:pPr>
      <w:r>
        <w:rPr>
          <w:rFonts w:ascii="Arial" w:hAnsi="Arial" w:cs="Arial"/>
        </w:rPr>
        <w:t>For this study, we focused on patients with T2DM at the time of surgery, defined using the Surveillance, Prevention, and Management of Diabetes Mellitus (SUPREME DM) study which maximized both the capture and accuracy of patients with diabetes using electronic medical records (EMR).</w:t>
      </w:r>
      <w:r>
        <w:rPr>
          <w:rFonts w:ascii="Arial" w:hAnsi="Arial" w:cs="Arial"/>
          <w:vertAlign w:val="superscript"/>
        </w:rPr>
        <w:t>1</w:t>
      </w:r>
      <w:r w:rsidR="00777E8E">
        <w:rPr>
          <w:rFonts w:ascii="Arial" w:hAnsi="Arial" w:cs="Arial"/>
          <w:vertAlign w:val="superscript"/>
        </w:rPr>
        <w:t>,</w:t>
      </w:r>
      <w:r>
        <w:rPr>
          <w:rFonts w:ascii="Arial" w:hAnsi="Arial" w:cs="Arial"/>
          <w:vertAlign w:val="superscript"/>
        </w:rPr>
        <w:t>2</w:t>
      </w:r>
      <w:r>
        <w:rPr>
          <w:rFonts w:ascii="Arial" w:hAnsi="Arial" w:cs="Arial"/>
        </w:rPr>
        <w:t xml:space="preserve"> The SUPREME DM study included extensive validation of definitions for T2DM using only EMR across multiple healthcare systems in the U.S. The protocol for validation, which was used in the present study, is available from the study website.</w:t>
      </w:r>
      <w:r>
        <w:rPr>
          <w:rFonts w:ascii="Arial" w:hAnsi="Arial" w:cs="Arial"/>
          <w:vertAlign w:val="superscript"/>
        </w:rPr>
        <w:t>1</w:t>
      </w:r>
      <w:r>
        <w:rPr>
          <w:rFonts w:ascii="Arial" w:hAnsi="Arial" w:cs="Arial"/>
        </w:rPr>
        <w:t xml:space="preserve"> </w:t>
      </w:r>
      <w:r>
        <w:rPr>
          <w:rFonts w:ascii="Arial" w:hAnsi="Arial" w:cs="Arial"/>
          <w:szCs w:val="22"/>
        </w:rPr>
        <w:t>The purpose of the paper was</w:t>
      </w:r>
      <w:r w:rsidR="00E651C7">
        <w:rPr>
          <w:rFonts w:ascii="Arial" w:hAnsi="Arial" w:cs="Arial"/>
          <w:szCs w:val="22"/>
        </w:rPr>
        <w:t xml:space="preserve"> </w:t>
      </w:r>
      <w:r>
        <w:rPr>
          <w:rFonts w:ascii="Arial" w:hAnsi="Arial" w:cs="Arial"/>
          <w:szCs w:val="22"/>
        </w:rPr>
        <w:t xml:space="preserve">to show outcomes with surgery when real-world physicians made clinical decisions about the aftercare of patients with T2DM having surgery. </w:t>
      </w:r>
      <w:r w:rsidR="00E651C7">
        <w:rPr>
          <w:rFonts w:ascii="Arial" w:hAnsi="Arial" w:cs="Arial"/>
          <w:szCs w:val="22"/>
        </w:rPr>
        <w:t>To this end, the SUPREME DM T2DM definition was vetted by an advisory board of bariatric surgeons and a bariatrician co-investigator. This process of engagement is detailed in a previous publication</w:t>
      </w:r>
      <w:r w:rsidR="00A67DD1">
        <w:rPr>
          <w:rFonts w:ascii="Arial" w:hAnsi="Arial" w:cs="Arial"/>
          <w:szCs w:val="22"/>
        </w:rPr>
        <w:t>.</w:t>
      </w:r>
      <w:r w:rsidR="00777E8E" w:rsidRPr="00777E8E">
        <w:rPr>
          <w:rFonts w:ascii="Arial" w:hAnsi="Arial" w:cs="Arial"/>
          <w:szCs w:val="22"/>
          <w:vertAlign w:val="superscript"/>
        </w:rPr>
        <w:t>3</w:t>
      </w:r>
    </w:p>
    <w:p w14:paraId="3920931E" w14:textId="3CA30DBA" w:rsidR="00E651C7" w:rsidRDefault="00E651C7" w:rsidP="002903AF">
      <w:pPr>
        <w:pStyle w:val="PlainText"/>
        <w:rPr>
          <w:rFonts w:ascii="Arial" w:hAnsi="Arial" w:cs="Arial"/>
          <w:szCs w:val="22"/>
        </w:rPr>
      </w:pPr>
    </w:p>
    <w:p w14:paraId="15004E0B" w14:textId="441D75CB" w:rsidR="002903AF" w:rsidRDefault="00E651C7" w:rsidP="002903AF">
      <w:pPr>
        <w:pStyle w:val="PlainText"/>
        <w:rPr>
          <w:rFonts w:ascii="Arial" w:hAnsi="Arial" w:cs="Arial"/>
          <w:szCs w:val="22"/>
        </w:rPr>
      </w:pPr>
      <w:r>
        <w:rPr>
          <w:rFonts w:ascii="Arial" w:hAnsi="Arial" w:cs="Arial"/>
          <w:szCs w:val="22"/>
        </w:rPr>
        <w:t>In addition, w</w:t>
      </w:r>
      <w:r w:rsidR="00D36CD0">
        <w:rPr>
          <w:rFonts w:ascii="Arial" w:hAnsi="Arial" w:cs="Arial"/>
          <w:szCs w:val="22"/>
        </w:rPr>
        <w:t>e also needed to use a valid definition of T2DM that could be created using existing, retrospective electronic medical records data.</w:t>
      </w:r>
      <w:r>
        <w:rPr>
          <w:rFonts w:ascii="Arial" w:hAnsi="Arial" w:cs="Arial"/>
          <w:szCs w:val="22"/>
        </w:rPr>
        <w:t xml:space="preserve"> We did not have the resources and time to create and validate our own. </w:t>
      </w:r>
      <w:r w:rsidR="002903AF">
        <w:rPr>
          <w:rFonts w:ascii="Arial" w:hAnsi="Arial" w:cs="Arial"/>
          <w:szCs w:val="22"/>
        </w:rPr>
        <w:t xml:space="preserve">The SUPREME DM </w:t>
      </w:r>
      <w:r w:rsidR="00D36CD0">
        <w:rPr>
          <w:rFonts w:ascii="Arial" w:hAnsi="Arial" w:cs="Arial"/>
          <w:szCs w:val="22"/>
        </w:rPr>
        <w:t xml:space="preserve">definition was developed using </w:t>
      </w:r>
      <w:r w:rsidR="00B6099E">
        <w:rPr>
          <w:rFonts w:ascii="Arial" w:hAnsi="Arial" w:cs="Arial"/>
          <w:szCs w:val="22"/>
        </w:rPr>
        <w:t>11 healthcare systems from the Healthcare Systems Research Network</w:t>
      </w:r>
      <w:r w:rsidR="00777E8E">
        <w:rPr>
          <w:rFonts w:ascii="Arial" w:hAnsi="Arial" w:cs="Arial"/>
          <w:szCs w:val="22"/>
          <w:vertAlign w:val="superscript"/>
        </w:rPr>
        <w:t>4</w:t>
      </w:r>
      <w:r w:rsidR="00A67DD1">
        <w:rPr>
          <w:rFonts w:ascii="Arial" w:hAnsi="Arial" w:cs="Arial"/>
          <w:szCs w:val="22"/>
          <w:vertAlign w:val="superscript"/>
        </w:rPr>
        <w:t xml:space="preserve"> </w:t>
      </w:r>
      <w:r w:rsidR="00A67DD1">
        <w:rPr>
          <w:rFonts w:ascii="Arial" w:hAnsi="Arial" w:cs="Arial"/>
          <w:szCs w:val="22"/>
        </w:rPr>
        <w:t>a</w:t>
      </w:r>
      <w:r w:rsidR="00FF31E8">
        <w:rPr>
          <w:rFonts w:ascii="Arial" w:hAnsi="Arial" w:cs="Arial"/>
          <w:szCs w:val="22"/>
        </w:rPr>
        <w:t xml:space="preserve">nd electronic medical records for over 15 million patients served by these systems. We used their recommended approach </w:t>
      </w:r>
      <w:r w:rsidR="00640AAC">
        <w:rPr>
          <w:rFonts w:ascii="Arial" w:hAnsi="Arial" w:cs="Arial"/>
          <w:szCs w:val="22"/>
        </w:rPr>
        <w:t xml:space="preserve">to identify T2DM </w:t>
      </w:r>
      <w:r w:rsidR="00FF31E8">
        <w:rPr>
          <w:rFonts w:ascii="Arial" w:hAnsi="Arial" w:cs="Arial"/>
          <w:szCs w:val="22"/>
        </w:rPr>
        <w:t xml:space="preserve">that </w:t>
      </w:r>
      <w:r w:rsidR="00640AAC">
        <w:rPr>
          <w:rFonts w:ascii="Arial" w:hAnsi="Arial" w:cs="Arial"/>
          <w:szCs w:val="22"/>
        </w:rPr>
        <w:t xml:space="preserve">used a complex algorithm that included all information available from laboratory results, medications, and diagnoses. We then applied a modified </w:t>
      </w:r>
      <w:proofErr w:type="spellStart"/>
      <w:r w:rsidR="00640AAC">
        <w:rPr>
          <w:rFonts w:ascii="Arial" w:hAnsi="Arial" w:cs="Arial"/>
          <w:szCs w:val="22"/>
        </w:rPr>
        <w:t>Klompas</w:t>
      </w:r>
      <w:proofErr w:type="spellEnd"/>
      <w:r w:rsidR="00640AAC">
        <w:rPr>
          <w:rFonts w:ascii="Arial" w:hAnsi="Arial" w:cs="Arial"/>
          <w:szCs w:val="22"/>
        </w:rPr>
        <w:t xml:space="preserve"> algorithm</w:t>
      </w:r>
      <w:r w:rsidR="00777E8E" w:rsidRPr="00777E8E">
        <w:rPr>
          <w:rFonts w:ascii="Arial" w:hAnsi="Arial" w:cs="Arial"/>
          <w:szCs w:val="22"/>
          <w:vertAlign w:val="superscript"/>
        </w:rPr>
        <w:t>5</w:t>
      </w:r>
      <w:r w:rsidR="00640AAC">
        <w:rPr>
          <w:rFonts w:ascii="Arial" w:hAnsi="Arial" w:cs="Arial"/>
          <w:szCs w:val="22"/>
        </w:rPr>
        <w:t xml:space="preserve"> for Type 1 Diabetes Mellitus (T1DM) and removed patients who were positive for T1DM. </w:t>
      </w:r>
    </w:p>
    <w:p w14:paraId="47BEA6C8" w14:textId="77777777" w:rsidR="002903AF" w:rsidRDefault="002903AF" w:rsidP="002903AF">
      <w:pPr>
        <w:pStyle w:val="PlainText"/>
        <w:rPr>
          <w:rFonts w:ascii="Arial" w:hAnsi="Arial" w:cs="Arial"/>
          <w:szCs w:val="22"/>
        </w:rPr>
      </w:pPr>
    </w:p>
    <w:p w14:paraId="397097B0" w14:textId="0DE2FE13" w:rsidR="0037553E" w:rsidRDefault="009420DE" w:rsidP="00E36723">
      <w:pPr>
        <w:pStyle w:val="NoSpacing"/>
        <w:rPr>
          <w:rFonts w:ascii="Arial" w:hAnsi="Arial" w:cs="Arial"/>
          <w:b/>
        </w:rPr>
      </w:pPr>
      <w:r w:rsidRPr="006F192F">
        <w:rPr>
          <w:rFonts w:ascii="Arial" w:hAnsi="Arial" w:cs="Arial"/>
          <w:b/>
        </w:rPr>
        <w:t xml:space="preserve">Main </w:t>
      </w:r>
      <w:r w:rsidR="006F192F">
        <w:rPr>
          <w:rFonts w:ascii="Arial" w:hAnsi="Arial" w:cs="Arial"/>
          <w:b/>
        </w:rPr>
        <w:t>A</w:t>
      </w:r>
      <w:r w:rsidR="0045760E" w:rsidRPr="006F192F">
        <w:rPr>
          <w:rFonts w:ascii="Arial" w:hAnsi="Arial" w:cs="Arial"/>
          <w:b/>
        </w:rPr>
        <w:t>nalyses</w:t>
      </w:r>
    </w:p>
    <w:p w14:paraId="5C052037" w14:textId="77777777" w:rsidR="006F192F" w:rsidRPr="006F192F" w:rsidRDefault="006F192F" w:rsidP="00E36723">
      <w:pPr>
        <w:pStyle w:val="NoSpacing"/>
        <w:rPr>
          <w:rFonts w:ascii="Arial" w:hAnsi="Arial" w:cs="Arial"/>
          <w:b/>
        </w:rPr>
      </w:pPr>
    </w:p>
    <w:p w14:paraId="2BC52556" w14:textId="7F06A232" w:rsidR="00743CFF" w:rsidRPr="006F192F" w:rsidRDefault="00743CFF" w:rsidP="009A32D0">
      <w:pPr>
        <w:pStyle w:val="NoSpacing"/>
        <w:rPr>
          <w:rFonts w:ascii="Arial" w:hAnsi="Arial" w:cs="Arial"/>
        </w:rPr>
      </w:pPr>
      <w:r w:rsidRPr="006F192F">
        <w:rPr>
          <w:rFonts w:ascii="Arial" w:hAnsi="Arial" w:cs="Arial"/>
        </w:rPr>
        <w:t xml:space="preserve">Our primary analysis used Cox proportional hazards models to assess the relationship between weight loss after surgery and </w:t>
      </w:r>
      <w:r w:rsidR="0037553E" w:rsidRPr="006F192F">
        <w:rPr>
          <w:rFonts w:ascii="Arial" w:hAnsi="Arial" w:cs="Arial"/>
        </w:rPr>
        <w:t xml:space="preserve">T2DM remission. </w:t>
      </w:r>
      <w:r w:rsidR="002D769E" w:rsidRPr="006F192F">
        <w:rPr>
          <w:rFonts w:ascii="Arial" w:hAnsi="Arial" w:cs="Arial"/>
        </w:rPr>
        <w:t xml:space="preserve">Analysis time ran from the date of surgery until the date of remission, or the date of last weight measurement for patients who did not remit. </w:t>
      </w:r>
      <w:r w:rsidR="0037553E" w:rsidRPr="006F192F">
        <w:rPr>
          <w:rFonts w:ascii="Arial" w:hAnsi="Arial" w:cs="Arial"/>
        </w:rPr>
        <w:t>Weight loss was i</w:t>
      </w:r>
      <w:r w:rsidR="002D769E" w:rsidRPr="006F192F">
        <w:rPr>
          <w:rFonts w:ascii="Arial" w:hAnsi="Arial" w:cs="Arial"/>
        </w:rPr>
        <w:t>ncluded in the model as</w:t>
      </w:r>
      <w:r w:rsidR="0037553E" w:rsidRPr="006F192F">
        <w:rPr>
          <w:rFonts w:ascii="Arial" w:hAnsi="Arial" w:cs="Arial"/>
        </w:rPr>
        <w:t xml:space="preserve"> 5 binary time varying covariates, for membership in the following weig</w:t>
      </w:r>
      <w:r w:rsidR="0045760E" w:rsidRPr="006F192F">
        <w:rPr>
          <w:rFonts w:ascii="Arial" w:hAnsi="Arial" w:cs="Arial"/>
        </w:rPr>
        <w:t xml:space="preserve">ht loss categories: </w:t>
      </w:r>
      <w:r w:rsidR="00D402B4" w:rsidRPr="006F192F">
        <w:rPr>
          <w:rFonts w:ascii="Arial" w:hAnsi="Arial" w:cs="Arial"/>
          <w:u w:val="single"/>
        </w:rPr>
        <w:t>&gt;</w:t>
      </w:r>
      <w:r w:rsidR="00D402B4" w:rsidRPr="006F192F">
        <w:rPr>
          <w:rFonts w:ascii="Arial" w:hAnsi="Arial" w:cs="Arial"/>
        </w:rPr>
        <w:t>0 to ≤5%, &gt;5 to ≤10%, &gt;10 to ≤15%, &gt;15 to ≤20%, &gt;20 to ≤25%, &gt;25 to ≤30%, &gt;30%</w:t>
      </w:r>
      <w:r w:rsidR="0037553E" w:rsidRPr="006F192F">
        <w:rPr>
          <w:rFonts w:ascii="Arial" w:hAnsi="Arial" w:cs="Arial"/>
        </w:rPr>
        <w:t xml:space="preserve">. Weight loss was calculated as the difference between weight at surgery, and last measured weight. The last measured weight was the weight at the time of remission for individuals who remitted. </w:t>
      </w:r>
    </w:p>
    <w:p w14:paraId="3EC4D5A7" w14:textId="2045434F" w:rsidR="0037553E" w:rsidRPr="006F192F" w:rsidRDefault="0037553E" w:rsidP="009A32D0">
      <w:pPr>
        <w:pStyle w:val="NoSpacing"/>
        <w:rPr>
          <w:rFonts w:ascii="Arial" w:hAnsi="Arial" w:cs="Arial"/>
        </w:rPr>
      </w:pPr>
    </w:p>
    <w:p w14:paraId="60EDD206" w14:textId="28D0CF3B" w:rsidR="0045760E" w:rsidRDefault="0086424E" w:rsidP="009A32D0">
      <w:pPr>
        <w:pStyle w:val="NoSpacing"/>
        <w:rPr>
          <w:rFonts w:ascii="Arial" w:hAnsi="Arial" w:cs="Arial"/>
        </w:rPr>
      </w:pPr>
      <w:r w:rsidRPr="006F192F">
        <w:rPr>
          <w:rFonts w:ascii="Arial" w:hAnsi="Arial" w:cs="Arial"/>
        </w:rPr>
        <w:lastRenderedPageBreak/>
        <w:t>The following covariates were included in all models:</w:t>
      </w:r>
      <w:r w:rsidR="0045760E" w:rsidRPr="006F192F">
        <w:rPr>
          <w:rFonts w:ascii="Arial" w:hAnsi="Arial" w:cs="Arial"/>
        </w:rPr>
        <w:t xml:space="preserve"> surgery type (RYGB indicator), sex (female indicator), race/ethnicity (indicators for Black, Hispanic, and Other </w:t>
      </w:r>
      <w:r w:rsidR="00BC04B2" w:rsidRPr="006F192F">
        <w:rPr>
          <w:rFonts w:ascii="Arial" w:hAnsi="Arial" w:cs="Arial"/>
        </w:rPr>
        <w:t>[all other race categories and those missing race])</w:t>
      </w:r>
      <w:r w:rsidR="0045760E" w:rsidRPr="006F192F">
        <w:rPr>
          <w:rFonts w:ascii="Arial" w:hAnsi="Arial" w:cs="Arial"/>
        </w:rPr>
        <w:t xml:space="preserve">, age, age squared, HBA1C (quartile indicators), </w:t>
      </w:r>
      <w:proofErr w:type="spellStart"/>
      <w:r w:rsidR="0045760E" w:rsidRPr="006F192F">
        <w:rPr>
          <w:rFonts w:ascii="Arial" w:hAnsi="Arial" w:cs="Arial"/>
        </w:rPr>
        <w:t>DiaRem</w:t>
      </w:r>
      <w:proofErr w:type="spellEnd"/>
      <w:r w:rsidR="0045760E" w:rsidRPr="006F192F">
        <w:rPr>
          <w:rFonts w:ascii="Arial" w:hAnsi="Arial" w:cs="Arial"/>
        </w:rPr>
        <w:t xml:space="preserve"> score (quartile indicators), </w:t>
      </w:r>
      <w:proofErr w:type="spellStart"/>
      <w:r w:rsidR="0045760E" w:rsidRPr="006F192F">
        <w:rPr>
          <w:rFonts w:ascii="Arial" w:hAnsi="Arial" w:cs="Arial"/>
        </w:rPr>
        <w:t>Elixhauser</w:t>
      </w:r>
      <w:proofErr w:type="spellEnd"/>
      <w:r w:rsidR="0045760E" w:rsidRPr="006F192F">
        <w:rPr>
          <w:rFonts w:ascii="Arial" w:hAnsi="Arial" w:cs="Arial"/>
        </w:rPr>
        <w:t xml:space="preserve"> score (quartile indicators), BMI (quartile indicators), weight at surgery (quartile indicators), BMI≥50 at surgery (indicator), drug use in year prior to surgery (indicators for aspirin and NSAIDS), drug use 3 months prior to surgery (indicators for aspirin and NSAIDs), number of diabetes drugs at surgery (indicators for 0, 1, and 2), drug use at surgery (</w:t>
      </w:r>
      <w:r w:rsidR="002871A9" w:rsidRPr="006F192F">
        <w:rPr>
          <w:rFonts w:ascii="Arial" w:hAnsi="Arial" w:cs="Arial"/>
        </w:rPr>
        <w:t>indicators for dyslipidemia drugs and</w:t>
      </w:r>
      <w:r w:rsidR="0045760E" w:rsidRPr="006F192F">
        <w:rPr>
          <w:rFonts w:ascii="Arial" w:hAnsi="Arial" w:cs="Arial"/>
        </w:rPr>
        <w:t xml:space="preserve"> insulin), inpatient visits in year pre-surgery (indicator for above median), emergency department visits in year pre-surgery </w:t>
      </w:r>
      <w:r w:rsidR="002871A9" w:rsidRPr="006F192F">
        <w:rPr>
          <w:rFonts w:ascii="Arial" w:hAnsi="Arial" w:cs="Arial"/>
        </w:rPr>
        <w:t xml:space="preserve">(indicator for </w:t>
      </w:r>
      <w:r w:rsidR="0045760E" w:rsidRPr="006F192F">
        <w:rPr>
          <w:rFonts w:ascii="Arial" w:hAnsi="Arial" w:cs="Arial"/>
        </w:rPr>
        <w:t>above median</w:t>
      </w:r>
      <w:r w:rsidR="002871A9" w:rsidRPr="006F192F">
        <w:rPr>
          <w:rFonts w:ascii="Arial" w:hAnsi="Arial" w:cs="Arial"/>
        </w:rPr>
        <w:t>)</w:t>
      </w:r>
      <w:r w:rsidR="0045760E" w:rsidRPr="006F192F">
        <w:rPr>
          <w:rFonts w:ascii="Arial" w:hAnsi="Arial" w:cs="Arial"/>
        </w:rPr>
        <w:t>, appointment attendance rate</w:t>
      </w:r>
      <w:r w:rsidR="002871A9" w:rsidRPr="006F192F">
        <w:rPr>
          <w:rFonts w:ascii="Arial" w:hAnsi="Arial" w:cs="Arial"/>
        </w:rPr>
        <w:t xml:space="preserve"> in year pre-surgery (indicator for</w:t>
      </w:r>
      <w:r w:rsidR="0045760E" w:rsidRPr="006F192F">
        <w:rPr>
          <w:rFonts w:ascii="Arial" w:hAnsi="Arial" w:cs="Arial"/>
        </w:rPr>
        <w:t xml:space="preserve"> above median</w:t>
      </w:r>
      <w:r w:rsidR="002871A9" w:rsidRPr="006F192F">
        <w:rPr>
          <w:rFonts w:ascii="Arial" w:hAnsi="Arial" w:cs="Arial"/>
        </w:rPr>
        <w:t>),</w:t>
      </w:r>
      <w:r w:rsidR="0045760E" w:rsidRPr="006F192F">
        <w:rPr>
          <w:rFonts w:ascii="Arial" w:hAnsi="Arial" w:cs="Arial"/>
        </w:rPr>
        <w:t xml:space="preserve"> weight change</w:t>
      </w:r>
      <w:r w:rsidR="002871A9" w:rsidRPr="006F192F">
        <w:rPr>
          <w:rFonts w:ascii="Arial" w:hAnsi="Arial" w:cs="Arial"/>
        </w:rPr>
        <w:t xml:space="preserve"> in year pre-surgery (indicator for</w:t>
      </w:r>
      <w:r w:rsidR="0045760E" w:rsidRPr="006F192F">
        <w:rPr>
          <w:rFonts w:ascii="Arial" w:hAnsi="Arial" w:cs="Arial"/>
        </w:rPr>
        <w:t xml:space="preserve"> above median</w:t>
      </w:r>
      <w:r w:rsidR="002871A9" w:rsidRPr="006F192F">
        <w:rPr>
          <w:rFonts w:ascii="Arial" w:hAnsi="Arial" w:cs="Arial"/>
        </w:rPr>
        <w:t>)</w:t>
      </w:r>
      <w:r w:rsidR="0045760E" w:rsidRPr="006F192F">
        <w:rPr>
          <w:rFonts w:ascii="Arial" w:hAnsi="Arial" w:cs="Arial"/>
        </w:rPr>
        <w:t>, and prior diagnosis indicators (hypertension, cirrhosis, sleep apnea, chronic kidney disease, serious mental condition, severe anx</w:t>
      </w:r>
      <w:r w:rsidR="002871A9" w:rsidRPr="006F192F">
        <w:rPr>
          <w:rFonts w:ascii="Arial" w:hAnsi="Arial" w:cs="Arial"/>
        </w:rPr>
        <w:t>iety, mild to moderate anxiety).</w:t>
      </w:r>
    </w:p>
    <w:p w14:paraId="6DAAC999" w14:textId="12E0B517" w:rsidR="007A02CD" w:rsidRDefault="007A02CD" w:rsidP="009A32D0">
      <w:pPr>
        <w:pStyle w:val="NoSpacing"/>
        <w:rPr>
          <w:rFonts w:ascii="Arial" w:hAnsi="Arial" w:cs="Arial"/>
        </w:rPr>
      </w:pPr>
    </w:p>
    <w:p w14:paraId="518FEE9F" w14:textId="4B73B342" w:rsidR="007A02CD" w:rsidRPr="00802FFD" w:rsidRDefault="007A02CD" w:rsidP="009A32D0">
      <w:pPr>
        <w:pStyle w:val="NoSpacing"/>
        <w:rPr>
          <w:rFonts w:ascii="Arial" w:hAnsi="Arial" w:cs="Arial"/>
          <w:u w:val="single"/>
        </w:rPr>
      </w:pPr>
      <w:r>
        <w:rPr>
          <w:rFonts w:ascii="Arial" w:hAnsi="Arial" w:cs="Arial"/>
        </w:rPr>
        <w:t xml:space="preserve">Table </w:t>
      </w:r>
      <w:r w:rsidRPr="00B45CD6">
        <w:rPr>
          <w:rFonts w:ascii="Arial" w:hAnsi="Arial" w:cs="Arial"/>
          <w:b/>
          <w:bCs/>
        </w:rPr>
        <w:t>S</w:t>
      </w:r>
      <w:r w:rsidR="00802FFD" w:rsidRPr="00B45CD6">
        <w:rPr>
          <w:rFonts w:ascii="Arial" w:hAnsi="Arial" w:cs="Arial"/>
          <w:b/>
          <w:bCs/>
        </w:rPr>
        <w:t>1</w:t>
      </w:r>
      <w:r w:rsidRPr="00B45CD6">
        <w:rPr>
          <w:rFonts w:ascii="Arial" w:hAnsi="Arial" w:cs="Arial"/>
        </w:rPr>
        <w:t xml:space="preserve"> provides a descriptive analysis of the types of medications used for the patient cohort with T2DM at the time of surgery and the types of medications used for these patients during follow-up. </w:t>
      </w:r>
      <w:r w:rsidR="0026405B">
        <w:rPr>
          <w:rFonts w:ascii="Arial" w:hAnsi="Arial" w:cs="Arial"/>
        </w:rPr>
        <w:t>The most frequently used medications at the time of surgery and in follow-up were Glipizide, Glyburide, and Insulin.</w:t>
      </w:r>
    </w:p>
    <w:p w14:paraId="3B137D45" w14:textId="25E1B698" w:rsidR="0086424E" w:rsidRPr="006F192F" w:rsidRDefault="0086424E" w:rsidP="009A32D0">
      <w:pPr>
        <w:pStyle w:val="NoSpacing"/>
        <w:rPr>
          <w:rFonts w:ascii="Arial" w:hAnsi="Arial" w:cs="Arial"/>
        </w:rPr>
      </w:pPr>
    </w:p>
    <w:p w14:paraId="5F26B9D0" w14:textId="698DA0BB" w:rsidR="009420DE" w:rsidRDefault="009420DE" w:rsidP="009A32D0">
      <w:pPr>
        <w:pStyle w:val="NoSpacing"/>
        <w:rPr>
          <w:rFonts w:ascii="Arial" w:hAnsi="Arial" w:cs="Arial"/>
          <w:b/>
        </w:rPr>
      </w:pPr>
      <w:r w:rsidRPr="006F192F">
        <w:rPr>
          <w:rFonts w:ascii="Arial" w:hAnsi="Arial" w:cs="Arial"/>
          <w:b/>
        </w:rPr>
        <w:t xml:space="preserve">Subgroup </w:t>
      </w:r>
      <w:r w:rsidR="006F192F">
        <w:rPr>
          <w:rFonts w:ascii="Arial" w:hAnsi="Arial" w:cs="Arial"/>
          <w:b/>
        </w:rPr>
        <w:t>A</w:t>
      </w:r>
      <w:r w:rsidRPr="006F192F">
        <w:rPr>
          <w:rFonts w:ascii="Arial" w:hAnsi="Arial" w:cs="Arial"/>
          <w:b/>
        </w:rPr>
        <w:t>nalyses</w:t>
      </w:r>
    </w:p>
    <w:p w14:paraId="7EBA245E" w14:textId="77777777" w:rsidR="006F192F" w:rsidRPr="006F192F" w:rsidRDefault="006F192F" w:rsidP="009A32D0">
      <w:pPr>
        <w:pStyle w:val="NoSpacing"/>
        <w:rPr>
          <w:rFonts w:ascii="Arial" w:hAnsi="Arial" w:cs="Arial"/>
          <w:b/>
        </w:rPr>
      </w:pPr>
    </w:p>
    <w:p w14:paraId="3EE2DD13" w14:textId="6B4C2073" w:rsidR="009420DE" w:rsidRPr="006F192F" w:rsidRDefault="0086424E" w:rsidP="009A32D0">
      <w:pPr>
        <w:pStyle w:val="NoSpacing"/>
        <w:rPr>
          <w:rFonts w:ascii="Arial" w:hAnsi="Arial" w:cs="Arial"/>
        </w:rPr>
      </w:pPr>
      <w:r w:rsidRPr="006F192F">
        <w:rPr>
          <w:rFonts w:ascii="Arial" w:hAnsi="Arial" w:cs="Arial"/>
        </w:rPr>
        <w:t xml:space="preserve">We also examined how </w:t>
      </w:r>
      <w:r w:rsidR="000C72B9" w:rsidRPr="006F192F">
        <w:rPr>
          <w:rFonts w:ascii="Arial" w:hAnsi="Arial" w:cs="Arial"/>
        </w:rPr>
        <w:t xml:space="preserve">the </w:t>
      </w:r>
      <w:r w:rsidRPr="006F192F">
        <w:rPr>
          <w:rFonts w:ascii="Arial" w:hAnsi="Arial" w:cs="Arial"/>
        </w:rPr>
        <w:t>relationship</w:t>
      </w:r>
      <w:r w:rsidR="000C72B9" w:rsidRPr="006F192F">
        <w:rPr>
          <w:rFonts w:ascii="Arial" w:hAnsi="Arial" w:cs="Arial"/>
        </w:rPr>
        <w:t xml:space="preserve"> between %TWL and T2DM remission</w:t>
      </w:r>
      <w:r w:rsidRPr="006F192F">
        <w:rPr>
          <w:rFonts w:ascii="Arial" w:hAnsi="Arial" w:cs="Arial"/>
        </w:rPr>
        <w:t xml:space="preserve"> varies a</w:t>
      </w:r>
      <w:r w:rsidR="002871A9" w:rsidRPr="006F192F">
        <w:rPr>
          <w:rFonts w:ascii="Arial" w:hAnsi="Arial" w:cs="Arial"/>
        </w:rPr>
        <w:t>cross subsets of the population</w:t>
      </w:r>
      <w:r w:rsidR="000C72B9" w:rsidRPr="006F192F">
        <w:rPr>
          <w:rFonts w:ascii="Arial" w:hAnsi="Arial" w:cs="Arial"/>
        </w:rPr>
        <w:t>.</w:t>
      </w:r>
      <w:r w:rsidR="00D402B4" w:rsidRPr="006F192F">
        <w:rPr>
          <w:rFonts w:ascii="Arial" w:hAnsi="Arial" w:cs="Arial"/>
        </w:rPr>
        <w:t xml:space="preserve"> Because the initial outcome findings suggested that there was an upper threshold for the effect of weight loss (&gt;20% TWL) on initial T2DM remission, we used the following categories of %TWL to improve the stability of the subgroup models: 0 to </w:t>
      </w:r>
      <w:r w:rsidR="00D402B4" w:rsidRPr="006F192F">
        <w:rPr>
          <w:rFonts w:ascii="Arial" w:hAnsi="Arial" w:cs="Arial"/>
          <w:u w:val="single"/>
        </w:rPr>
        <w:t>&lt;</w:t>
      </w:r>
      <w:r w:rsidR="00D402B4" w:rsidRPr="006F192F">
        <w:rPr>
          <w:rFonts w:ascii="Arial" w:hAnsi="Arial" w:cs="Arial"/>
        </w:rPr>
        <w:t xml:space="preserve"> 5%, &gt;5 to </w:t>
      </w:r>
      <w:r w:rsidR="00D402B4" w:rsidRPr="006F192F">
        <w:rPr>
          <w:rFonts w:ascii="Arial" w:hAnsi="Arial" w:cs="Arial"/>
          <w:u w:val="single"/>
        </w:rPr>
        <w:t>&lt;</w:t>
      </w:r>
      <w:r w:rsidR="00D402B4" w:rsidRPr="006F192F">
        <w:rPr>
          <w:rFonts w:ascii="Arial" w:hAnsi="Arial" w:cs="Arial"/>
        </w:rPr>
        <w:t xml:space="preserve">10%, &gt;10% to </w:t>
      </w:r>
      <w:r w:rsidR="00D402B4" w:rsidRPr="006F192F">
        <w:rPr>
          <w:rFonts w:ascii="Arial" w:hAnsi="Arial" w:cs="Arial"/>
          <w:u w:val="single"/>
        </w:rPr>
        <w:t>&lt;</w:t>
      </w:r>
      <w:r w:rsidR="00D402B4" w:rsidRPr="006F192F">
        <w:rPr>
          <w:rFonts w:ascii="Arial" w:hAnsi="Arial" w:cs="Arial"/>
        </w:rPr>
        <w:t xml:space="preserve">15%, &gt;15% to </w:t>
      </w:r>
      <w:r w:rsidR="00D402B4" w:rsidRPr="006F192F">
        <w:rPr>
          <w:rFonts w:ascii="Arial" w:hAnsi="Arial" w:cs="Arial"/>
          <w:u w:val="single"/>
        </w:rPr>
        <w:t>&lt;</w:t>
      </w:r>
      <w:r w:rsidR="00D402B4" w:rsidRPr="006F192F">
        <w:rPr>
          <w:rFonts w:ascii="Arial" w:hAnsi="Arial" w:cs="Arial"/>
        </w:rPr>
        <w:t>20%, and &gt;20%.</w:t>
      </w:r>
      <w:r w:rsidR="000C72B9" w:rsidRPr="006F192F">
        <w:rPr>
          <w:rFonts w:ascii="Arial" w:hAnsi="Arial" w:cs="Arial"/>
        </w:rPr>
        <w:t xml:space="preserve"> </w:t>
      </w:r>
      <w:r w:rsidR="00D402B4" w:rsidRPr="006F192F">
        <w:rPr>
          <w:rFonts w:ascii="Arial" w:hAnsi="Arial" w:cs="Arial"/>
        </w:rPr>
        <w:t>We ran analyses that st</w:t>
      </w:r>
      <w:r w:rsidR="000C72B9" w:rsidRPr="006F192F">
        <w:rPr>
          <w:rFonts w:ascii="Arial" w:hAnsi="Arial" w:cs="Arial"/>
        </w:rPr>
        <w:t>ratif</w:t>
      </w:r>
      <w:r w:rsidR="00D402B4" w:rsidRPr="006F192F">
        <w:rPr>
          <w:rFonts w:ascii="Arial" w:hAnsi="Arial" w:cs="Arial"/>
        </w:rPr>
        <w:t>ied</w:t>
      </w:r>
      <w:r w:rsidR="000C72B9" w:rsidRPr="006F192F">
        <w:rPr>
          <w:rFonts w:ascii="Arial" w:hAnsi="Arial" w:cs="Arial"/>
        </w:rPr>
        <w:t xml:space="preserve"> the relationship by</w:t>
      </w:r>
      <w:r w:rsidR="00D402B4" w:rsidRPr="006F192F">
        <w:rPr>
          <w:rFonts w:ascii="Arial" w:hAnsi="Arial" w:cs="Arial"/>
        </w:rPr>
        <w:t xml:space="preserve"> remission probability at surgery</w:t>
      </w:r>
      <w:r w:rsidR="002871A9" w:rsidRPr="006F192F">
        <w:rPr>
          <w:rFonts w:ascii="Arial" w:hAnsi="Arial" w:cs="Arial"/>
        </w:rPr>
        <w:t xml:space="preserve"> (high </w:t>
      </w:r>
      <w:proofErr w:type="spellStart"/>
      <w:r w:rsidR="002871A9" w:rsidRPr="006F192F">
        <w:rPr>
          <w:rFonts w:ascii="Arial" w:hAnsi="Arial" w:cs="Arial"/>
        </w:rPr>
        <w:t>DiaRem</w:t>
      </w:r>
      <w:proofErr w:type="spellEnd"/>
      <w:r w:rsidR="002871A9" w:rsidRPr="006F192F">
        <w:rPr>
          <w:rFonts w:ascii="Arial" w:hAnsi="Arial" w:cs="Arial"/>
        </w:rPr>
        <w:t xml:space="preserve"> score (≥8) vs low </w:t>
      </w:r>
      <w:proofErr w:type="spellStart"/>
      <w:r w:rsidR="002871A9" w:rsidRPr="006F192F">
        <w:rPr>
          <w:rFonts w:ascii="Arial" w:hAnsi="Arial" w:cs="Arial"/>
        </w:rPr>
        <w:t>DiaRem</w:t>
      </w:r>
      <w:proofErr w:type="spellEnd"/>
      <w:r w:rsidR="002871A9" w:rsidRPr="006F192F">
        <w:rPr>
          <w:rFonts w:ascii="Arial" w:hAnsi="Arial" w:cs="Arial"/>
        </w:rPr>
        <w:t xml:space="preserve"> score (≤7)</w:t>
      </w:r>
      <w:r w:rsidR="000C72B9" w:rsidRPr="006F192F">
        <w:rPr>
          <w:rFonts w:ascii="Arial" w:hAnsi="Arial" w:cs="Arial"/>
        </w:rPr>
        <w:t xml:space="preserve">, </w:t>
      </w:r>
      <w:r w:rsidR="000C72B9" w:rsidRPr="006F192F">
        <w:rPr>
          <w:rFonts w:ascii="Arial" w:hAnsi="Arial" w:cs="Arial"/>
          <w:b/>
        </w:rPr>
        <w:t xml:space="preserve">Figure </w:t>
      </w:r>
      <w:r w:rsidR="00D402B4" w:rsidRPr="006F192F">
        <w:rPr>
          <w:rFonts w:ascii="Arial" w:hAnsi="Arial" w:cs="Arial"/>
          <w:b/>
        </w:rPr>
        <w:t>S1</w:t>
      </w:r>
      <w:r w:rsidR="002871A9" w:rsidRPr="006F192F">
        <w:rPr>
          <w:rFonts w:ascii="Arial" w:hAnsi="Arial" w:cs="Arial"/>
        </w:rPr>
        <w:t xml:space="preserve">), </w:t>
      </w:r>
      <w:r w:rsidR="000C72B9" w:rsidRPr="006F192F">
        <w:rPr>
          <w:rFonts w:ascii="Arial" w:hAnsi="Arial" w:cs="Arial"/>
        </w:rPr>
        <w:t>binary</w:t>
      </w:r>
      <w:r w:rsidR="002871A9" w:rsidRPr="006F192F">
        <w:rPr>
          <w:rFonts w:ascii="Arial" w:hAnsi="Arial" w:cs="Arial"/>
        </w:rPr>
        <w:t xml:space="preserve"> use of insulin at surgery (</w:t>
      </w:r>
      <w:r w:rsidR="002871A9" w:rsidRPr="006F192F">
        <w:rPr>
          <w:rFonts w:ascii="Arial" w:hAnsi="Arial" w:cs="Arial"/>
          <w:b/>
        </w:rPr>
        <w:t xml:space="preserve">Figure </w:t>
      </w:r>
      <w:r w:rsidR="00D402B4" w:rsidRPr="006F192F">
        <w:rPr>
          <w:rFonts w:ascii="Arial" w:hAnsi="Arial" w:cs="Arial"/>
          <w:b/>
        </w:rPr>
        <w:t>2</w:t>
      </w:r>
      <w:r w:rsidR="002871A9" w:rsidRPr="006F192F">
        <w:rPr>
          <w:rFonts w:ascii="Arial" w:hAnsi="Arial" w:cs="Arial"/>
        </w:rPr>
        <w:t>)</w:t>
      </w:r>
      <w:r w:rsidR="000C72B9" w:rsidRPr="006F192F">
        <w:rPr>
          <w:rFonts w:ascii="Arial" w:hAnsi="Arial" w:cs="Arial"/>
        </w:rPr>
        <w:t xml:space="preserve">, four categories of race/ethnicity (White, Black, Hispanic, Other, </w:t>
      </w:r>
      <w:r w:rsidR="000C72B9" w:rsidRPr="006F192F">
        <w:rPr>
          <w:rFonts w:ascii="Arial" w:hAnsi="Arial" w:cs="Arial"/>
          <w:b/>
        </w:rPr>
        <w:t xml:space="preserve">Figure </w:t>
      </w:r>
      <w:r w:rsidR="00D402B4" w:rsidRPr="006F192F">
        <w:rPr>
          <w:rFonts w:ascii="Arial" w:hAnsi="Arial" w:cs="Arial"/>
          <w:b/>
        </w:rPr>
        <w:t>3</w:t>
      </w:r>
      <w:r w:rsidR="000C72B9" w:rsidRPr="006F192F">
        <w:rPr>
          <w:rFonts w:ascii="Arial" w:hAnsi="Arial" w:cs="Arial"/>
        </w:rPr>
        <w:t xml:space="preserve">), BMI (≥50 vs &lt;50, </w:t>
      </w:r>
      <w:r w:rsidR="000C72B9" w:rsidRPr="006F192F">
        <w:rPr>
          <w:rFonts w:ascii="Arial" w:hAnsi="Arial" w:cs="Arial"/>
          <w:b/>
        </w:rPr>
        <w:t>Figure S</w:t>
      </w:r>
      <w:r w:rsidR="00D402B4" w:rsidRPr="006F192F">
        <w:rPr>
          <w:rFonts w:ascii="Arial" w:hAnsi="Arial" w:cs="Arial"/>
          <w:b/>
        </w:rPr>
        <w:t>2</w:t>
      </w:r>
      <w:r w:rsidR="000C72B9" w:rsidRPr="006F192F">
        <w:rPr>
          <w:rFonts w:ascii="Arial" w:hAnsi="Arial" w:cs="Arial"/>
        </w:rPr>
        <w:t xml:space="preserve">), age (≥65 vs &lt;65, </w:t>
      </w:r>
      <w:r w:rsidR="000C72B9" w:rsidRPr="006F192F">
        <w:rPr>
          <w:rFonts w:ascii="Arial" w:hAnsi="Arial" w:cs="Arial"/>
          <w:b/>
        </w:rPr>
        <w:t>Figure S</w:t>
      </w:r>
      <w:r w:rsidR="00D402B4" w:rsidRPr="006F192F">
        <w:rPr>
          <w:rFonts w:ascii="Arial" w:hAnsi="Arial" w:cs="Arial"/>
          <w:b/>
        </w:rPr>
        <w:t>3</w:t>
      </w:r>
      <w:r w:rsidR="000C72B9" w:rsidRPr="006F192F">
        <w:rPr>
          <w:rFonts w:ascii="Arial" w:hAnsi="Arial" w:cs="Arial"/>
        </w:rPr>
        <w:t xml:space="preserve">), and surgery type (RYGB vs SG, </w:t>
      </w:r>
      <w:r w:rsidR="000C72B9" w:rsidRPr="006F192F">
        <w:rPr>
          <w:rFonts w:ascii="Arial" w:hAnsi="Arial" w:cs="Arial"/>
          <w:b/>
        </w:rPr>
        <w:t>Figure S4</w:t>
      </w:r>
      <w:r w:rsidR="000C72B9" w:rsidRPr="006F192F">
        <w:rPr>
          <w:rFonts w:ascii="Arial" w:hAnsi="Arial" w:cs="Arial"/>
        </w:rPr>
        <w:t xml:space="preserve">). In each of these analyses, the group variables of interest were interacted with the five indicators for category of %TWL (0-5%, 5-10%, 10-15%, 15-20%, &gt;20%). For example, the analysis of the relationship stratified by </w:t>
      </w:r>
      <w:r w:rsidR="009420DE" w:rsidRPr="006F192F">
        <w:rPr>
          <w:rFonts w:ascii="Arial" w:hAnsi="Arial" w:cs="Arial"/>
        </w:rPr>
        <w:t>diabetes severity</w:t>
      </w:r>
      <w:r w:rsidR="000C72B9" w:rsidRPr="006F192F">
        <w:rPr>
          <w:rFonts w:ascii="Arial" w:hAnsi="Arial" w:cs="Arial"/>
        </w:rPr>
        <w:t xml:space="preserve"> at surgery (</w:t>
      </w:r>
      <w:r w:rsidR="000C72B9" w:rsidRPr="006F192F">
        <w:rPr>
          <w:rFonts w:ascii="Arial" w:hAnsi="Arial" w:cs="Arial"/>
          <w:b/>
        </w:rPr>
        <w:t xml:space="preserve">Figure </w:t>
      </w:r>
      <w:r w:rsidR="009420DE" w:rsidRPr="006F192F">
        <w:rPr>
          <w:rFonts w:ascii="Arial" w:hAnsi="Arial" w:cs="Arial"/>
          <w:b/>
        </w:rPr>
        <w:t>2</w:t>
      </w:r>
      <w:r w:rsidR="000C72B9" w:rsidRPr="006F192F">
        <w:rPr>
          <w:rFonts w:ascii="Arial" w:hAnsi="Arial" w:cs="Arial"/>
        </w:rPr>
        <w:t xml:space="preserve">) included </w:t>
      </w:r>
      <w:r w:rsidR="009420DE" w:rsidRPr="006F192F">
        <w:rPr>
          <w:rFonts w:ascii="Arial" w:hAnsi="Arial" w:cs="Arial"/>
        </w:rPr>
        <w:t xml:space="preserve">nine interactions, as compared to a reference group with low severity and 0-5% TWL. </w:t>
      </w:r>
    </w:p>
    <w:p w14:paraId="02AE8F6D" w14:textId="77777777" w:rsidR="009420DE" w:rsidRPr="006F192F" w:rsidRDefault="009420DE" w:rsidP="009A32D0">
      <w:pPr>
        <w:pStyle w:val="NoSpacing"/>
        <w:rPr>
          <w:rFonts w:ascii="Arial" w:hAnsi="Arial" w:cs="Arial"/>
        </w:rPr>
      </w:pPr>
    </w:p>
    <w:p w14:paraId="750BD3DA" w14:textId="1A421093" w:rsidR="00743CFF" w:rsidRPr="006F192F" w:rsidRDefault="009420DE" w:rsidP="009A32D0">
      <w:pPr>
        <w:pStyle w:val="NoSpacing"/>
        <w:rPr>
          <w:rFonts w:ascii="Arial" w:hAnsi="Arial" w:cs="Arial"/>
        </w:rPr>
      </w:pPr>
      <w:r w:rsidRPr="006F192F">
        <w:rPr>
          <w:rFonts w:ascii="Arial" w:hAnsi="Arial" w:cs="Arial"/>
        </w:rPr>
        <w:t xml:space="preserve">In addition to the comparison of each indicator to the reference category noted in that figure (reported in the aforementioned figures), we also tested if the overall relationship between %TWL and T2DM remission varied significantly across the values of the group variable of interest. We did this with Wald tests of the joint </w:t>
      </w:r>
      <w:r w:rsidR="001C3D66" w:rsidRPr="006F192F">
        <w:rPr>
          <w:rFonts w:ascii="Arial" w:hAnsi="Arial" w:cs="Arial"/>
        </w:rPr>
        <w:t xml:space="preserve">hypothesis that </w:t>
      </w:r>
      <w:r w:rsidRPr="006F192F">
        <w:rPr>
          <w:rFonts w:ascii="Arial" w:hAnsi="Arial" w:cs="Arial"/>
        </w:rPr>
        <w:t>the</w:t>
      </w:r>
      <w:r w:rsidR="001C3D66" w:rsidRPr="006F192F">
        <w:rPr>
          <w:rFonts w:ascii="Arial" w:hAnsi="Arial" w:cs="Arial"/>
        </w:rPr>
        <w:t xml:space="preserve"> coefficients on the</w:t>
      </w:r>
      <w:r w:rsidRPr="006F192F">
        <w:rPr>
          <w:rFonts w:ascii="Arial" w:hAnsi="Arial" w:cs="Arial"/>
        </w:rPr>
        <w:t xml:space="preserve"> interaction variables</w:t>
      </w:r>
      <w:r w:rsidR="001C3D66" w:rsidRPr="006F192F">
        <w:rPr>
          <w:rFonts w:ascii="Arial" w:hAnsi="Arial" w:cs="Arial"/>
        </w:rPr>
        <w:t xml:space="preserve"> are equal (the chi-squared statistics and p-values reflecting the joint significance of these tests</w:t>
      </w:r>
      <w:r w:rsidRPr="006F192F">
        <w:rPr>
          <w:rFonts w:ascii="Arial" w:hAnsi="Arial" w:cs="Arial"/>
        </w:rPr>
        <w:t xml:space="preserve"> are reported in supplementary </w:t>
      </w:r>
      <w:r w:rsidRPr="006F192F">
        <w:rPr>
          <w:rFonts w:ascii="Arial" w:hAnsi="Arial" w:cs="Arial"/>
          <w:b/>
        </w:rPr>
        <w:t>Table S1</w:t>
      </w:r>
      <w:r w:rsidR="001C3D66" w:rsidRPr="006F192F">
        <w:rPr>
          <w:rFonts w:ascii="Arial" w:hAnsi="Arial" w:cs="Arial"/>
        </w:rPr>
        <w:t>)</w:t>
      </w:r>
      <w:r w:rsidRPr="006F192F">
        <w:rPr>
          <w:rFonts w:ascii="Arial" w:hAnsi="Arial" w:cs="Arial"/>
        </w:rPr>
        <w:t xml:space="preserve">. For example, for the analyses that stratify the relationship across </w:t>
      </w:r>
      <w:r w:rsidR="00D402B4" w:rsidRPr="006F192F">
        <w:rPr>
          <w:rFonts w:ascii="Arial" w:hAnsi="Arial" w:cs="Arial"/>
        </w:rPr>
        <w:t>insulin use</w:t>
      </w:r>
      <w:r w:rsidRPr="006F192F">
        <w:rPr>
          <w:rFonts w:ascii="Arial" w:hAnsi="Arial" w:cs="Arial"/>
        </w:rPr>
        <w:t xml:space="preserve"> (</w:t>
      </w:r>
      <w:r w:rsidRPr="006F192F">
        <w:rPr>
          <w:rFonts w:ascii="Arial" w:hAnsi="Arial" w:cs="Arial"/>
          <w:b/>
        </w:rPr>
        <w:t>Figure 2</w:t>
      </w:r>
      <w:r w:rsidRPr="006F192F">
        <w:rPr>
          <w:rFonts w:ascii="Arial" w:hAnsi="Arial" w:cs="Arial"/>
        </w:rPr>
        <w:t xml:space="preserve">), we tested the joint hypothesis that the five interaction variables for %TWL interacted with </w:t>
      </w:r>
      <w:r w:rsidR="00D402B4" w:rsidRPr="006F192F">
        <w:rPr>
          <w:rFonts w:ascii="Arial" w:hAnsi="Arial" w:cs="Arial"/>
        </w:rPr>
        <w:t>insulin use at surgery</w:t>
      </w:r>
      <w:r w:rsidRPr="006F192F">
        <w:rPr>
          <w:rFonts w:ascii="Arial" w:hAnsi="Arial" w:cs="Arial"/>
        </w:rPr>
        <w:t xml:space="preserve"> were equal to the five interactions between %TWL and </w:t>
      </w:r>
      <w:r w:rsidR="00D402B4" w:rsidRPr="006F192F">
        <w:rPr>
          <w:rFonts w:ascii="Arial" w:hAnsi="Arial" w:cs="Arial"/>
        </w:rPr>
        <w:t>insulin non-use at surgery</w:t>
      </w:r>
      <w:r w:rsidRPr="006F192F">
        <w:rPr>
          <w:rFonts w:ascii="Arial" w:hAnsi="Arial" w:cs="Arial"/>
        </w:rPr>
        <w:t xml:space="preserve">. </w:t>
      </w:r>
      <w:r w:rsidR="00D61393" w:rsidRPr="006F192F">
        <w:rPr>
          <w:rFonts w:ascii="Arial" w:hAnsi="Arial" w:cs="Arial"/>
        </w:rPr>
        <w:t>This hypothesis was rejected with a p-value&lt;0.001.</w:t>
      </w:r>
    </w:p>
    <w:p w14:paraId="54EDD774" w14:textId="14E49D35" w:rsidR="00EF5640" w:rsidRPr="006F192F" w:rsidRDefault="00EF5640" w:rsidP="00A6296D">
      <w:pPr>
        <w:pStyle w:val="NoSpacing"/>
        <w:rPr>
          <w:rFonts w:ascii="Arial" w:hAnsi="Arial" w:cs="Arial"/>
          <w:b/>
          <w:u w:val="single"/>
        </w:rPr>
      </w:pPr>
    </w:p>
    <w:p w14:paraId="7101CF3C" w14:textId="6F934269" w:rsidR="00777E8E" w:rsidRDefault="00777E8E">
      <w:pPr>
        <w:rPr>
          <w:rFonts w:ascii="Arial" w:hAnsi="Arial" w:cs="Arial"/>
          <w:b/>
          <w:sz w:val="20"/>
          <w:szCs w:val="20"/>
        </w:rPr>
      </w:pPr>
      <w:r w:rsidRPr="00777E8E">
        <w:rPr>
          <w:rFonts w:ascii="Arial" w:hAnsi="Arial" w:cs="Arial"/>
          <w:b/>
          <w:sz w:val="20"/>
          <w:szCs w:val="20"/>
        </w:rPr>
        <w:t>R</w:t>
      </w:r>
      <w:r>
        <w:rPr>
          <w:rFonts w:ascii="Arial" w:hAnsi="Arial" w:cs="Arial"/>
          <w:b/>
          <w:sz w:val="20"/>
          <w:szCs w:val="20"/>
        </w:rPr>
        <w:t>e</w:t>
      </w:r>
      <w:r w:rsidRPr="00777E8E">
        <w:rPr>
          <w:rFonts w:ascii="Arial" w:hAnsi="Arial" w:cs="Arial"/>
          <w:b/>
          <w:sz w:val="20"/>
          <w:szCs w:val="20"/>
        </w:rPr>
        <w:t>ferences</w:t>
      </w:r>
    </w:p>
    <w:p w14:paraId="7B4CE57A" w14:textId="77777777" w:rsidR="00777E8E" w:rsidRPr="00045585" w:rsidRDefault="00777E8E" w:rsidP="00777E8E">
      <w:pPr>
        <w:pStyle w:val="ListParagraph"/>
        <w:numPr>
          <w:ilvl w:val="0"/>
          <w:numId w:val="14"/>
        </w:numPr>
        <w:spacing w:after="0" w:line="240" w:lineRule="auto"/>
        <w:rPr>
          <w:rStyle w:val="Hyperlink"/>
          <w:rFonts w:ascii="Arial" w:hAnsi="Arial" w:cs="Arial"/>
        </w:rPr>
      </w:pPr>
      <w:r>
        <w:rPr>
          <w:rFonts w:ascii="Arial" w:hAnsi="Arial" w:cs="Arial"/>
        </w:rPr>
        <w:t xml:space="preserve">Surveillance, Prevention, and Management of Diabetes Mellitus. SUPREME-DM - Home. </w:t>
      </w:r>
      <w:hyperlink r:id="rId7" w:history="1">
        <w:r w:rsidRPr="00F53223">
          <w:rPr>
            <w:rStyle w:val="Hyperlink"/>
            <w:rFonts w:ascii="Arial" w:hAnsi="Arial" w:cs="Arial"/>
          </w:rPr>
          <w:t>http://www.supreme-dm.org/index.html</w:t>
        </w:r>
      </w:hyperlink>
      <w:r>
        <w:rPr>
          <w:rFonts w:ascii="Arial" w:hAnsi="Arial" w:cs="Arial"/>
        </w:rPr>
        <w:t>. Accessed on November 15, 2016.</w:t>
      </w:r>
    </w:p>
    <w:p w14:paraId="500C7553" w14:textId="77777777" w:rsidR="00777E8E" w:rsidRDefault="00777E8E" w:rsidP="00777E8E">
      <w:pPr>
        <w:pStyle w:val="ListParagraph"/>
        <w:numPr>
          <w:ilvl w:val="0"/>
          <w:numId w:val="14"/>
        </w:numPr>
        <w:spacing w:after="0" w:line="240" w:lineRule="auto"/>
        <w:rPr>
          <w:rFonts w:ascii="Arial" w:hAnsi="Arial" w:cs="Arial"/>
        </w:rPr>
      </w:pPr>
      <w:r w:rsidRPr="00444D43">
        <w:rPr>
          <w:rFonts w:ascii="Arial" w:hAnsi="Arial" w:cs="Arial"/>
          <w:color w:val="333333"/>
        </w:rPr>
        <w:t xml:space="preserve">Nichols GA, Schroeder EB, Karter AJ, Gregg EW, Desai J, Lawrence JM, O'Connor PJ, Xu S, Newton KM, </w:t>
      </w:r>
      <w:proofErr w:type="spellStart"/>
      <w:r w:rsidRPr="00444D43">
        <w:rPr>
          <w:rFonts w:ascii="Arial" w:hAnsi="Arial" w:cs="Arial"/>
          <w:color w:val="333333"/>
        </w:rPr>
        <w:t>Raebel</w:t>
      </w:r>
      <w:proofErr w:type="spellEnd"/>
      <w:r w:rsidRPr="00444D43">
        <w:rPr>
          <w:rFonts w:ascii="Arial" w:hAnsi="Arial" w:cs="Arial"/>
          <w:color w:val="333333"/>
        </w:rPr>
        <w:t xml:space="preserve"> MA, Pathak RD, Waitzfelder B, Segal J, </w:t>
      </w:r>
      <w:proofErr w:type="spellStart"/>
      <w:r w:rsidRPr="00444D43">
        <w:rPr>
          <w:rFonts w:ascii="Arial" w:hAnsi="Arial" w:cs="Arial"/>
          <w:color w:val="333333"/>
        </w:rPr>
        <w:t>Lafata</w:t>
      </w:r>
      <w:proofErr w:type="spellEnd"/>
      <w:r w:rsidRPr="00444D43">
        <w:rPr>
          <w:rFonts w:ascii="Arial" w:hAnsi="Arial" w:cs="Arial"/>
          <w:color w:val="333333"/>
        </w:rPr>
        <w:t xml:space="preserve"> JE, Butler MG, Kirchner HL, Thomas A, Steiner JF. Trends in Diabetes Incidence Among 7 Million Insured Adults, 2006-2011: The SUPREME-DM Project. </w:t>
      </w:r>
      <w:r w:rsidRPr="00444D43">
        <w:rPr>
          <w:rStyle w:val="Emphasis"/>
          <w:rFonts w:ascii="Arial" w:hAnsi="Arial" w:cs="Arial"/>
          <w:color w:val="333333"/>
        </w:rPr>
        <w:t>Am</w:t>
      </w:r>
      <w:r>
        <w:rPr>
          <w:rStyle w:val="Emphasis"/>
          <w:rFonts w:ascii="Arial" w:hAnsi="Arial" w:cs="Arial"/>
          <w:color w:val="333333"/>
        </w:rPr>
        <w:t xml:space="preserve"> J</w:t>
      </w:r>
      <w:r w:rsidRPr="00444D43">
        <w:rPr>
          <w:rStyle w:val="Emphasis"/>
          <w:rFonts w:ascii="Arial" w:hAnsi="Arial" w:cs="Arial"/>
          <w:color w:val="333333"/>
        </w:rPr>
        <w:t xml:space="preserve"> Epidem</w:t>
      </w:r>
      <w:r>
        <w:rPr>
          <w:rStyle w:val="Emphasis"/>
          <w:rFonts w:ascii="Arial" w:hAnsi="Arial" w:cs="Arial"/>
          <w:color w:val="333333"/>
        </w:rPr>
        <w:t>iology.</w:t>
      </w:r>
      <w:r w:rsidRPr="00444D43">
        <w:rPr>
          <w:rFonts w:ascii="Arial" w:hAnsi="Arial" w:cs="Arial"/>
          <w:color w:val="333333"/>
        </w:rPr>
        <w:t xml:space="preserve"> 2015</w:t>
      </w:r>
      <w:r>
        <w:rPr>
          <w:rFonts w:ascii="Arial" w:hAnsi="Arial" w:cs="Arial"/>
          <w:color w:val="333333"/>
        </w:rPr>
        <w:t>; 1</w:t>
      </w:r>
      <w:r w:rsidRPr="00444D43">
        <w:rPr>
          <w:rFonts w:ascii="Arial" w:hAnsi="Arial" w:cs="Arial"/>
          <w:color w:val="333333"/>
        </w:rPr>
        <w:t>81:32-39. PMID: 25515167.</w:t>
      </w:r>
      <w:r w:rsidRPr="00444D43">
        <w:rPr>
          <w:rFonts w:ascii="Arial" w:hAnsi="Arial" w:cs="Arial"/>
        </w:rPr>
        <w:t xml:space="preserve"> </w:t>
      </w:r>
    </w:p>
    <w:p w14:paraId="5B2AC888" w14:textId="77777777" w:rsidR="00777E8E" w:rsidRPr="00952A30" w:rsidRDefault="00777E8E" w:rsidP="00777E8E">
      <w:pPr>
        <w:pStyle w:val="ListParagraph"/>
        <w:numPr>
          <w:ilvl w:val="0"/>
          <w:numId w:val="14"/>
        </w:numPr>
        <w:tabs>
          <w:tab w:val="left" w:pos="900"/>
        </w:tabs>
        <w:autoSpaceDE w:val="0"/>
        <w:autoSpaceDN w:val="0"/>
        <w:spacing w:after="0" w:line="240" w:lineRule="auto"/>
        <w:rPr>
          <w:rFonts w:ascii="Arial" w:hAnsi="Arial" w:cs="Arial"/>
        </w:rPr>
      </w:pPr>
      <w:r w:rsidRPr="00F46C81">
        <w:rPr>
          <w:rFonts w:ascii="Arial" w:hAnsi="Arial" w:cs="Arial"/>
          <w:color w:val="212121"/>
          <w:shd w:val="clear" w:color="auto" w:fill="FFFFFF"/>
        </w:rPr>
        <w:t xml:space="preserve">Coleman KJ, Fischer H, Arterburn DE, Barthold D, Barton LJ, Basu A, Courcoulas A, Crawford CL, Fedorka P, Kim B, Mun E, Murali S, Reynolds K, Suh K, Wei R, Yoon TK, Zane R. Effectiveness of </w:t>
      </w:r>
      <w:r>
        <w:rPr>
          <w:rFonts w:ascii="Arial" w:hAnsi="Arial" w:cs="Arial"/>
          <w:color w:val="212121"/>
          <w:shd w:val="clear" w:color="auto" w:fill="FFFFFF"/>
        </w:rPr>
        <w:t>g</w:t>
      </w:r>
      <w:r w:rsidRPr="00F46C81">
        <w:rPr>
          <w:rFonts w:ascii="Arial" w:hAnsi="Arial" w:cs="Arial"/>
          <w:color w:val="212121"/>
          <w:shd w:val="clear" w:color="auto" w:fill="FFFFFF"/>
        </w:rPr>
        <w:t xml:space="preserve">astric </w:t>
      </w:r>
      <w:r>
        <w:rPr>
          <w:rFonts w:ascii="Arial" w:hAnsi="Arial" w:cs="Arial"/>
          <w:color w:val="212121"/>
          <w:shd w:val="clear" w:color="auto" w:fill="FFFFFF"/>
        </w:rPr>
        <w:t>b</w:t>
      </w:r>
      <w:r w:rsidRPr="00F46C81">
        <w:rPr>
          <w:rFonts w:ascii="Arial" w:hAnsi="Arial" w:cs="Arial"/>
          <w:color w:val="212121"/>
          <w:shd w:val="clear" w:color="auto" w:fill="FFFFFF"/>
        </w:rPr>
        <w:t xml:space="preserve">ypass </w:t>
      </w:r>
      <w:r>
        <w:rPr>
          <w:rFonts w:ascii="Arial" w:hAnsi="Arial" w:cs="Arial"/>
          <w:color w:val="212121"/>
          <w:shd w:val="clear" w:color="auto" w:fill="FFFFFF"/>
        </w:rPr>
        <w:t>v</w:t>
      </w:r>
      <w:r w:rsidRPr="00F46C81">
        <w:rPr>
          <w:rFonts w:ascii="Arial" w:hAnsi="Arial" w:cs="Arial"/>
          <w:color w:val="212121"/>
          <w:shd w:val="clear" w:color="auto" w:fill="FFFFFF"/>
        </w:rPr>
        <w:t xml:space="preserve">ersus </w:t>
      </w:r>
      <w:r>
        <w:rPr>
          <w:rFonts w:ascii="Arial" w:hAnsi="Arial" w:cs="Arial"/>
          <w:color w:val="212121"/>
          <w:shd w:val="clear" w:color="auto" w:fill="FFFFFF"/>
        </w:rPr>
        <w:t>g</w:t>
      </w:r>
      <w:r w:rsidRPr="00F46C81">
        <w:rPr>
          <w:rFonts w:ascii="Arial" w:hAnsi="Arial" w:cs="Arial"/>
          <w:color w:val="212121"/>
          <w:shd w:val="clear" w:color="auto" w:fill="FFFFFF"/>
        </w:rPr>
        <w:t xml:space="preserve">astric </w:t>
      </w:r>
      <w:r>
        <w:rPr>
          <w:rFonts w:ascii="Arial" w:hAnsi="Arial" w:cs="Arial"/>
          <w:color w:val="212121"/>
          <w:shd w:val="clear" w:color="auto" w:fill="FFFFFF"/>
        </w:rPr>
        <w:t>s</w:t>
      </w:r>
      <w:r w:rsidRPr="00F46C81">
        <w:rPr>
          <w:rFonts w:ascii="Arial" w:hAnsi="Arial" w:cs="Arial"/>
          <w:color w:val="212121"/>
          <w:shd w:val="clear" w:color="auto" w:fill="FFFFFF"/>
        </w:rPr>
        <w:t xml:space="preserve">leeve for </w:t>
      </w:r>
      <w:r>
        <w:rPr>
          <w:rFonts w:ascii="Arial" w:hAnsi="Arial" w:cs="Arial"/>
          <w:color w:val="212121"/>
          <w:shd w:val="clear" w:color="auto" w:fill="FFFFFF"/>
        </w:rPr>
        <w:t>c</w:t>
      </w:r>
      <w:r w:rsidRPr="00F46C81">
        <w:rPr>
          <w:rFonts w:ascii="Arial" w:hAnsi="Arial" w:cs="Arial"/>
          <w:color w:val="212121"/>
          <w:shd w:val="clear" w:color="auto" w:fill="FFFFFF"/>
        </w:rPr>
        <w:t xml:space="preserve">ardiovascular </w:t>
      </w:r>
      <w:r>
        <w:rPr>
          <w:rFonts w:ascii="Arial" w:hAnsi="Arial" w:cs="Arial"/>
          <w:color w:val="212121"/>
          <w:shd w:val="clear" w:color="auto" w:fill="FFFFFF"/>
        </w:rPr>
        <w:t>d</w:t>
      </w:r>
      <w:r w:rsidRPr="00F46C81">
        <w:rPr>
          <w:rFonts w:ascii="Arial" w:hAnsi="Arial" w:cs="Arial"/>
          <w:color w:val="212121"/>
          <w:shd w:val="clear" w:color="auto" w:fill="FFFFFF"/>
        </w:rPr>
        <w:t xml:space="preserve">isease: Protocol and </w:t>
      </w:r>
      <w:r>
        <w:rPr>
          <w:rFonts w:ascii="Arial" w:hAnsi="Arial" w:cs="Arial"/>
          <w:color w:val="212121"/>
          <w:shd w:val="clear" w:color="auto" w:fill="FFFFFF"/>
        </w:rPr>
        <w:t>b</w:t>
      </w:r>
      <w:r w:rsidRPr="00F46C81">
        <w:rPr>
          <w:rFonts w:ascii="Arial" w:hAnsi="Arial" w:cs="Arial"/>
          <w:color w:val="212121"/>
          <w:shd w:val="clear" w:color="auto" w:fill="FFFFFF"/>
        </w:rPr>
        <w:t xml:space="preserve">aseline </w:t>
      </w:r>
      <w:r>
        <w:rPr>
          <w:rFonts w:ascii="Arial" w:hAnsi="Arial" w:cs="Arial"/>
          <w:color w:val="212121"/>
          <w:shd w:val="clear" w:color="auto" w:fill="FFFFFF"/>
        </w:rPr>
        <w:t>r</w:t>
      </w:r>
      <w:r w:rsidRPr="00F46C81">
        <w:rPr>
          <w:rFonts w:ascii="Arial" w:hAnsi="Arial" w:cs="Arial"/>
          <w:color w:val="212121"/>
          <w:shd w:val="clear" w:color="auto" w:fill="FFFFFF"/>
        </w:rPr>
        <w:t xml:space="preserve">esults for a </w:t>
      </w:r>
      <w:r>
        <w:rPr>
          <w:rFonts w:ascii="Arial" w:hAnsi="Arial" w:cs="Arial"/>
          <w:color w:val="212121"/>
          <w:shd w:val="clear" w:color="auto" w:fill="FFFFFF"/>
        </w:rPr>
        <w:t>c</w:t>
      </w:r>
      <w:r w:rsidRPr="00F46C81">
        <w:rPr>
          <w:rFonts w:ascii="Arial" w:hAnsi="Arial" w:cs="Arial"/>
          <w:color w:val="212121"/>
          <w:shd w:val="clear" w:color="auto" w:fill="FFFFFF"/>
        </w:rPr>
        <w:t xml:space="preserve">omparative </w:t>
      </w:r>
      <w:r>
        <w:rPr>
          <w:rFonts w:ascii="Arial" w:hAnsi="Arial" w:cs="Arial"/>
          <w:color w:val="212121"/>
          <w:shd w:val="clear" w:color="auto" w:fill="FFFFFF"/>
        </w:rPr>
        <w:t>e</w:t>
      </w:r>
      <w:r w:rsidRPr="00F46C81">
        <w:rPr>
          <w:rFonts w:ascii="Arial" w:hAnsi="Arial" w:cs="Arial"/>
          <w:color w:val="212121"/>
          <w:shd w:val="clear" w:color="auto" w:fill="FFFFFF"/>
        </w:rPr>
        <w:t xml:space="preserve">ffectiveness </w:t>
      </w:r>
      <w:r>
        <w:rPr>
          <w:rFonts w:ascii="Arial" w:hAnsi="Arial" w:cs="Arial"/>
          <w:color w:val="212121"/>
          <w:shd w:val="clear" w:color="auto" w:fill="FFFFFF"/>
        </w:rPr>
        <w:t>s</w:t>
      </w:r>
      <w:r w:rsidRPr="00F46C81">
        <w:rPr>
          <w:rFonts w:ascii="Arial" w:hAnsi="Arial" w:cs="Arial"/>
          <w:color w:val="212121"/>
          <w:shd w:val="clear" w:color="auto" w:fill="FFFFFF"/>
        </w:rPr>
        <w:t xml:space="preserve">tudy. JMIR Res </w:t>
      </w:r>
      <w:proofErr w:type="spellStart"/>
      <w:r w:rsidRPr="00F46C81">
        <w:rPr>
          <w:rFonts w:ascii="Arial" w:hAnsi="Arial" w:cs="Arial"/>
          <w:color w:val="212121"/>
          <w:shd w:val="clear" w:color="auto" w:fill="FFFFFF"/>
        </w:rPr>
        <w:t>Protoc</w:t>
      </w:r>
      <w:proofErr w:type="spellEnd"/>
      <w:r w:rsidRPr="00F46C81">
        <w:rPr>
          <w:rFonts w:ascii="Arial" w:hAnsi="Arial" w:cs="Arial"/>
          <w:color w:val="212121"/>
          <w:shd w:val="clear" w:color="auto" w:fill="FFFFFF"/>
        </w:rPr>
        <w:t>. 2020 Apr 6;9(4</w:t>
      </w:r>
      <w:proofErr w:type="gramStart"/>
      <w:r w:rsidRPr="00F46C81">
        <w:rPr>
          <w:rFonts w:ascii="Arial" w:hAnsi="Arial" w:cs="Arial"/>
          <w:color w:val="212121"/>
          <w:shd w:val="clear" w:color="auto" w:fill="FFFFFF"/>
        </w:rPr>
        <w:t>):e</w:t>
      </w:r>
      <w:proofErr w:type="gramEnd"/>
      <w:r w:rsidRPr="00F46C81">
        <w:rPr>
          <w:rFonts w:ascii="Arial" w:hAnsi="Arial" w:cs="Arial"/>
          <w:color w:val="212121"/>
          <w:shd w:val="clear" w:color="auto" w:fill="FFFFFF"/>
        </w:rPr>
        <w:t xml:space="preserve">14936. </w:t>
      </w:r>
      <w:proofErr w:type="spellStart"/>
      <w:r w:rsidRPr="00F46C81">
        <w:rPr>
          <w:rFonts w:ascii="Arial" w:hAnsi="Arial" w:cs="Arial"/>
          <w:color w:val="212121"/>
          <w:shd w:val="clear" w:color="auto" w:fill="FFFFFF"/>
        </w:rPr>
        <w:t>doi</w:t>
      </w:r>
      <w:proofErr w:type="spellEnd"/>
      <w:r w:rsidRPr="00F46C81">
        <w:rPr>
          <w:rFonts w:ascii="Arial" w:hAnsi="Arial" w:cs="Arial"/>
          <w:color w:val="212121"/>
          <w:shd w:val="clear" w:color="auto" w:fill="FFFFFF"/>
        </w:rPr>
        <w:t>: 10.2196/14936. PMID: 32249757.</w:t>
      </w:r>
    </w:p>
    <w:p w14:paraId="1BE4F52E" w14:textId="77777777" w:rsidR="00777E8E" w:rsidRPr="00711678" w:rsidRDefault="00777E8E" w:rsidP="00777E8E">
      <w:pPr>
        <w:pStyle w:val="CommentText"/>
        <w:numPr>
          <w:ilvl w:val="0"/>
          <w:numId w:val="14"/>
        </w:numPr>
        <w:spacing w:after="0"/>
        <w:contextualSpacing/>
        <w:rPr>
          <w:rFonts w:ascii="Arial" w:hAnsi="Arial" w:cs="Arial"/>
          <w:sz w:val="22"/>
          <w:szCs w:val="22"/>
        </w:rPr>
      </w:pPr>
      <w:r w:rsidRPr="00711678">
        <w:rPr>
          <w:rFonts w:ascii="Arial" w:hAnsi="Arial" w:cs="Arial"/>
          <w:sz w:val="22"/>
          <w:szCs w:val="22"/>
        </w:rPr>
        <w:t xml:space="preserve">Healthcare Systems Research Network. Mission and Vision. </w:t>
      </w:r>
      <w:hyperlink r:id="rId8" w:history="1">
        <w:r w:rsidRPr="00711678">
          <w:rPr>
            <w:rStyle w:val="Hyperlink"/>
            <w:rFonts w:ascii="Arial" w:hAnsi="Arial" w:cs="Arial"/>
            <w:sz w:val="22"/>
            <w:szCs w:val="22"/>
          </w:rPr>
          <w:t>http://www.hcsrn.org/en/About/</w:t>
        </w:r>
      </w:hyperlink>
      <w:r w:rsidRPr="00711678">
        <w:rPr>
          <w:rFonts w:ascii="Arial" w:hAnsi="Arial" w:cs="Arial"/>
          <w:sz w:val="22"/>
          <w:szCs w:val="22"/>
        </w:rPr>
        <w:t>. Accessed on June 7, 2021.</w:t>
      </w:r>
    </w:p>
    <w:p w14:paraId="399E996A" w14:textId="77777777" w:rsidR="00777E8E" w:rsidRPr="00711678" w:rsidRDefault="00777E8E" w:rsidP="00777E8E">
      <w:pPr>
        <w:pStyle w:val="ListParagraph"/>
        <w:numPr>
          <w:ilvl w:val="0"/>
          <w:numId w:val="14"/>
        </w:numPr>
        <w:spacing w:after="0" w:line="240" w:lineRule="auto"/>
        <w:rPr>
          <w:rFonts w:ascii="Arial" w:eastAsia="Times New Roman" w:hAnsi="Arial" w:cs="Arial"/>
          <w:lang w:eastAsia="zh-CN"/>
        </w:rPr>
      </w:pPr>
      <w:proofErr w:type="spellStart"/>
      <w:r w:rsidRPr="00711678">
        <w:rPr>
          <w:rFonts w:ascii="Arial" w:hAnsi="Arial" w:cs="Arial"/>
          <w:color w:val="212121"/>
          <w:lang w:val="en"/>
        </w:rPr>
        <w:lastRenderedPageBreak/>
        <w:t>Klompas</w:t>
      </w:r>
      <w:proofErr w:type="spellEnd"/>
      <w:r w:rsidRPr="00711678">
        <w:rPr>
          <w:rFonts w:ascii="Arial" w:hAnsi="Arial" w:cs="Arial"/>
          <w:color w:val="212121"/>
          <w:lang w:val="en"/>
        </w:rPr>
        <w:t xml:space="preserve"> M, Eggleston E, </w:t>
      </w:r>
      <w:proofErr w:type="spellStart"/>
      <w:r w:rsidRPr="00711678">
        <w:rPr>
          <w:rFonts w:ascii="Arial" w:hAnsi="Arial" w:cs="Arial"/>
          <w:color w:val="212121"/>
          <w:lang w:val="en"/>
        </w:rPr>
        <w:t>McVetta</w:t>
      </w:r>
      <w:proofErr w:type="spellEnd"/>
      <w:r w:rsidRPr="00711678">
        <w:rPr>
          <w:rFonts w:ascii="Arial" w:hAnsi="Arial" w:cs="Arial"/>
          <w:color w:val="212121"/>
          <w:lang w:val="en"/>
        </w:rPr>
        <w:t xml:space="preserve"> J, Lazarus R, Li L, Platt R. Automated </w:t>
      </w:r>
      <w:proofErr w:type="gramStart"/>
      <w:r w:rsidRPr="00711678">
        <w:rPr>
          <w:rFonts w:ascii="Arial" w:hAnsi="Arial" w:cs="Arial"/>
          <w:color w:val="212121"/>
          <w:lang w:val="en"/>
        </w:rPr>
        <w:t>detection</w:t>
      </w:r>
      <w:proofErr w:type="gramEnd"/>
      <w:r w:rsidRPr="00711678">
        <w:rPr>
          <w:rFonts w:ascii="Arial" w:hAnsi="Arial" w:cs="Arial"/>
          <w:color w:val="212121"/>
          <w:lang w:val="en"/>
        </w:rPr>
        <w:t xml:space="preserve"> and classification of type 1 versus type 2 diabetes using electronic health record data. Diabetes Care. 2013;</w:t>
      </w:r>
      <w:r>
        <w:rPr>
          <w:rFonts w:ascii="Arial" w:hAnsi="Arial" w:cs="Arial"/>
          <w:color w:val="212121"/>
          <w:lang w:val="en"/>
        </w:rPr>
        <w:t xml:space="preserve"> </w:t>
      </w:r>
      <w:r w:rsidRPr="00711678">
        <w:rPr>
          <w:rFonts w:ascii="Arial" w:hAnsi="Arial" w:cs="Arial"/>
          <w:color w:val="212121"/>
          <w:lang w:val="en"/>
        </w:rPr>
        <w:t>36:914-21. PMID: 23193215</w:t>
      </w:r>
      <w:r>
        <w:rPr>
          <w:rFonts w:ascii="Arial" w:hAnsi="Arial" w:cs="Arial"/>
          <w:color w:val="212121"/>
          <w:lang w:val="en"/>
        </w:rPr>
        <w:t>.</w:t>
      </w:r>
    </w:p>
    <w:p w14:paraId="7F679EAA" w14:textId="77777777" w:rsidR="00777E8E" w:rsidRPr="00777E8E" w:rsidRDefault="00777E8E">
      <w:pPr>
        <w:rPr>
          <w:rFonts w:ascii="Arial" w:hAnsi="Arial" w:cs="Arial"/>
          <w:b/>
          <w:sz w:val="20"/>
          <w:szCs w:val="20"/>
        </w:rPr>
      </w:pPr>
    </w:p>
    <w:p w14:paraId="6E9933FC" w14:textId="77777777" w:rsidR="00777E8E" w:rsidRDefault="00777E8E">
      <w:pPr>
        <w:rPr>
          <w:rFonts w:ascii="Arial" w:hAnsi="Arial" w:cs="Arial"/>
          <w:b/>
          <w:u w:val="single"/>
        </w:rPr>
      </w:pPr>
      <w:r>
        <w:rPr>
          <w:rFonts w:ascii="Arial" w:hAnsi="Arial" w:cs="Arial"/>
          <w:b/>
          <w:u w:val="single"/>
        </w:rPr>
        <w:br w:type="page"/>
      </w:r>
    </w:p>
    <w:p w14:paraId="11FE025A" w14:textId="1FE350A3" w:rsidR="0019405D" w:rsidRDefault="00802FFD">
      <w:pPr>
        <w:rPr>
          <w:rFonts w:ascii="Arial" w:hAnsi="Arial" w:cs="Arial"/>
          <w:bCs/>
        </w:rPr>
      </w:pPr>
      <w:r w:rsidRPr="0026405B">
        <w:rPr>
          <w:rFonts w:ascii="Arial" w:hAnsi="Arial" w:cs="Arial"/>
          <w:b/>
          <w:noProof/>
          <w:u w:val="single"/>
        </w:rPr>
        <w:lastRenderedPageBreak/>
        <w:drawing>
          <wp:anchor distT="0" distB="0" distL="114300" distR="114300" simplePos="0" relativeHeight="251658240" behindDoc="1" locked="0" layoutInCell="1" allowOverlap="1" wp14:anchorId="4310DD8C" wp14:editId="409C7937">
            <wp:simplePos x="0" y="0"/>
            <wp:positionH relativeFrom="margin">
              <wp:posOffset>240030</wp:posOffset>
            </wp:positionH>
            <wp:positionV relativeFrom="paragraph">
              <wp:posOffset>392430</wp:posOffset>
            </wp:positionV>
            <wp:extent cx="6499860" cy="5585460"/>
            <wp:effectExtent l="19050" t="19050" r="15240" b="15240"/>
            <wp:wrapTight wrapText="bothSides">
              <wp:wrapPolygon edited="0">
                <wp:start x="-63" y="-74"/>
                <wp:lineTo x="-63" y="21585"/>
                <wp:lineTo x="21587" y="21585"/>
                <wp:lineTo x="21587" y="-74"/>
                <wp:lineTo x="-63" y="-74"/>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499860" cy="5585460"/>
                    </a:xfrm>
                    <a:prstGeom prst="rect">
                      <a:avLst/>
                    </a:prstGeom>
                    <a:ln>
                      <a:solidFill>
                        <a:schemeClr val="tx1"/>
                      </a:solidFill>
                    </a:ln>
                  </pic:spPr>
                </pic:pic>
              </a:graphicData>
            </a:graphic>
          </wp:anchor>
        </w:drawing>
      </w:r>
      <w:r w:rsidR="0019405D" w:rsidRPr="0026405B">
        <w:rPr>
          <w:rFonts w:ascii="Arial" w:hAnsi="Arial" w:cs="Arial"/>
          <w:b/>
          <w:u w:val="single"/>
        </w:rPr>
        <w:t>Figure S</w:t>
      </w:r>
      <w:r w:rsidRPr="0026405B">
        <w:rPr>
          <w:rFonts w:ascii="Arial" w:hAnsi="Arial" w:cs="Arial"/>
          <w:b/>
          <w:u w:val="single"/>
        </w:rPr>
        <w:t>1</w:t>
      </w:r>
      <w:r w:rsidR="0026405B" w:rsidRPr="0026405B">
        <w:rPr>
          <w:rFonts w:ascii="Arial" w:hAnsi="Arial" w:cs="Arial"/>
          <w:b/>
          <w:u w:val="single"/>
        </w:rPr>
        <w:t>.</w:t>
      </w:r>
      <w:r w:rsidR="0019405D" w:rsidRPr="0026405B">
        <w:rPr>
          <w:rFonts w:ascii="Arial" w:hAnsi="Arial" w:cs="Arial"/>
          <w:bCs/>
        </w:rPr>
        <w:t xml:space="preserve"> </w:t>
      </w:r>
      <w:r w:rsidR="0026405B">
        <w:rPr>
          <w:rFonts w:ascii="Arial" w:hAnsi="Arial" w:cs="Arial"/>
          <w:bCs/>
        </w:rPr>
        <w:t>Selection process for study cohort.</w:t>
      </w:r>
    </w:p>
    <w:p w14:paraId="5AE38707" w14:textId="77777777" w:rsidR="0026405B" w:rsidRPr="0026405B" w:rsidRDefault="0026405B">
      <w:pPr>
        <w:rPr>
          <w:rFonts w:ascii="Arial" w:hAnsi="Arial" w:cs="Arial"/>
          <w:bCs/>
        </w:rPr>
      </w:pPr>
    </w:p>
    <w:p w14:paraId="6B4B97A0" w14:textId="34E0A81E" w:rsidR="0019405D" w:rsidRDefault="0019405D">
      <w:pPr>
        <w:rPr>
          <w:rFonts w:ascii="Arial" w:hAnsi="Arial" w:cs="Arial"/>
          <w:b/>
          <w:sz w:val="20"/>
          <w:szCs w:val="20"/>
          <w:u w:val="single"/>
        </w:rPr>
      </w:pPr>
      <w:r>
        <w:rPr>
          <w:rFonts w:ascii="Arial" w:hAnsi="Arial" w:cs="Arial"/>
          <w:b/>
          <w:sz w:val="20"/>
          <w:szCs w:val="20"/>
          <w:u w:val="single"/>
        </w:rPr>
        <w:br w:type="page"/>
      </w:r>
    </w:p>
    <w:p w14:paraId="77BBE0E6" w14:textId="2227A11D" w:rsidR="00F82A73" w:rsidRDefault="00BC04B2" w:rsidP="00F82A73">
      <w:pPr>
        <w:pStyle w:val="NoSpacing"/>
        <w:rPr>
          <w:rFonts w:ascii="Arial" w:hAnsi="Arial" w:cs="Arial"/>
          <w:bCs/>
          <w:sz w:val="20"/>
          <w:szCs w:val="20"/>
        </w:rPr>
      </w:pPr>
      <w:r w:rsidRPr="00BC04B2">
        <w:rPr>
          <w:rFonts w:ascii="Arial" w:hAnsi="Arial" w:cs="Arial"/>
          <w:b/>
          <w:sz w:val="20"/>
          <w:szCs w:val="20"/>
          <w:u w:val="single"/>
        </w:rPr>
        <w:lastRenderedPageBreak/>
        <w:t>Figure S</w:t>
      </w:r>
      <w:r w:rsidR="00802FFD">
        <w:rPr>
          <w:rFonts w:ascii="Arial" w:hAnsi="Arial" w:cs="Arial"/>
          <w:b/>
          <w:sz w:val="20"/>
          <w:szCs w:val="20"/>
          <w:u w:val="single"/>
        </w:rPr>
        <w:t>2</w:t>
      </w:r>
      <w:r>
        <w:rPr>
          <w:rFonts w:ascii="Arial" w:hAnsi="Arial" w:cs="Arial"/>
          <w:bCs/>
          <w:sz w:val="20"/>
          <w:szCs w:val="20"/>
        </w:rPr>
        <w:t>.</w:t>
      </w:r>
      <w:r w:rsidR="00F82A73" w:rsidRPr="00BC04B2">
        <w:rPr>
          <w:rFonts w:ascii="Arial" w:hAnsi="Arial" w:cs="Arial"/>
          <w:bCs/>
          <w:sz w:val="20"/>
          <w:szCs w:val="20"/>
        </w:rPr>
        <w:t xml:space="preserve"> – Association between type 2 diabetes (T2DM) remission and weight loss after bariatric surgery, stratified by </w:t>
      </w:r>
      <w:proofErr w:type="spellStart"/>
      <w:r w:rsidR="00F82A73" w:rsidRPr="00BC04B2">
        <w:rPr>
          <w:rFonts w:ascii="Arial" w:hAnsi="Arial" w:cs="Arial"/>
          <w:bCs/>
          <w:sz w:val="20"/>
          <w:szCs w:val="20"/>
        </w:rPr>
        <w:t>DiaRem</w:t>
      </w:r>
      <w:proofErr w:type="spellEnd"/>
      <w:r w:rsidR="00F82A73" w:rsidRPr="00BC04B2">
        <w:rPr>
          <w:rFonts w:ascii="Arial" w:hAnsi="Arial" w:cs="Arial"/>
          <w:bCs/>
          <w:sz w:val="20"/>
          <w:szCs w:val="20"/>
        </w:rPr>
        <w:t xml:space="preserve"> score at surgery (High </w:t>
      </w:r>
      <w:proofErr w:type="spellStart"/>
      <w:r w:rsidR="00F82A73" w:rsidRPr="00BC04B2">
        <w:rPr>
          <w:rFonts w:ascii="Arial" w:hAnsi="Arial" w:cs="Arial"/>
          <w:bCs/>
          <w:sz w:val="20"/>
          <w:szCs w:val="20"/>
        </w:rPr>
        <w:t>DiaRem</w:t>
      </w:r>
      <w:proofErr w:type="spellEnd"/>
      <w:r w:rsidR="00F82A73" w:rsidRPr="00BC04B2">
        <w:rPr>
          <w:rFonts w:ascii="Arial" w:hAnsi="Arial" w:cs="Arial"/>
          <w:bCs/>
          <w:sz w:val="20"/>
          <w:szCs w:val="20"/>
        </w:rPr>
        <w:t xml:space="preserve"> if ≥ 8, Low </w:t>
      </w:r>
      <w:proofErr w:type="spellStart"/>
      <w:r w:rsidR="00F82A73" w:rsidRPr="00BC04B2">
        <w:rPr>
          <w:rFonts w:ascii="Arial" w:hAnsi="Arial" w:cs="Arial"/>
          <w:bCs/>
          <w:sz w:val="20"/>
          <w:szCs w:val="20"/>
        </w:rPr>
        <w:t>DiaRem</w:t>
      </w:r>
      <w:proofErr w:type="spellEnd"/>
      <w:r w:rsidR="00F82A73" w:rsidRPr="00BC04B2">
        <w:rPr>
          <w:rFonts w:ascii="Arial" w:hAnsi="Arial" w:cs="Arial"/>
          <w:bCs/>
          <w:sz w:val="20"/>
          <w:szCs w:val="20"/>
        </w:rPr>
        <w:t xml:space="preserve"> if ≤ 7)</w:t>
      </w:r>
      <w:r>
        <w:rPr>
          <w:rFonts w:ascii="Arial" w:hAnsi="Arial" w:cs="Arial"/>
          <w:bCs/>
          <w:sz w:val="20"/>
          <w:szCs w:val="20"/>
        </w:rPr>
        <w:t>.</w:t>
      </w:r>
    </w:p>
    <w:p w14:paraId="3B2C0713" w14:textId="77777777" w:rsidR="0026405B" w:rsidRDefault="0026405B" w:rsidP="00F82A73">
      <w:pPr>
        <w:pStyle w:val="NoSpacing"/>
        <w:rPr>
          <w:rFonts w:ascii="Arial" w:hAnsi="Arial" w:cs="Arial"/>
          <w:bCs/>
          <w:sz w:val="20"/>
          <w:szCs w:val="20"/>
        </w:rPr>
      </w:pPr>
    </w:p>
    <w:p w14:paraId="64ECCECD" w14:textId="1ADB177C" w:rsidR="00F82A73" w:rsidRDefault="00802BB6" w:rsidP="00F82A73">
      <w:pPr>
        <w:pStyle w:val="NoSpacing"/>
        <w:rPr>
          <w:rFonts w:ascii="Arial" w:hAnsi="Arial" w:cs="Arial"/>
          <w:b/>
          <w:sz w:val="20"/>
          <w:szCs w:val="20"/>
          <w:u w:val="single"/>
        </w:rPr>
      </w:pPr>
      <w:r>
        <w:rPr>
          <w:noProof/>
        </w:rPr>
        <w:drawing>
          <wp:inline distT="0" distB="0" distL="0" distR="0" wp14:anchorId="4B835DC1" wp14:editId="314CD2B9">
            <wp:extent cx="6675120" cy="3007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5120" cy="3007995"/>
                    </a:xfrm>
                    <a:prstGeom prst="rect">
                      <a:avLst/>
                    </a:prstGeom>
                    <a:noFill/>
                    <a:ln>
                      <a:noFill/>
                    </a:ln>
                  </pic:spPr>
                </pic:pic>
              </a:graphicData>
            </a:graphic>
          </wp:inline>
        </w:drawing>
      </w:r>
    </w:p>
    <w:p w14:paraId="1B6FE35C" w14:textId="297B56BC" w:rsidR="002D21A2" w:rsidRPr="00A6296D" w:rsidRDefault="002D21A2" w:rsidP="002D21A2">
      <w:pPr>
        <w:pStyle w:val="NoSpacing"/>
        <w:jc w:val="both"/>
        <w:rPr>
          <w:rFonts w:ascii="Arial" w:hAnsi="Arial" w:cs="Arial"/>
          <w:sz w:val="20"/>
          <w:szCs w:val="20"/>
        </w:rPr>
      </w:pPr>
      <w:r>
        <w:rPr>
          <w:rFonts w:ascii="Arial" w:eastAsia="Times New Roman" w:hAnsi="Arial" w:cs="Arial"/>
          <w:color w:val="000000"/>
          <w:sz w:val="16"/>
          <w:szCs w:val="16"/>
        </w:rPr>
        <w:t>Cox proportional hazard model r</w:t>
      </w:r>
      <w:r w:rsidRPr="00AB7659">
        <w:rPr>
          <w:rFonts w:ascii="Arial" w:eastAsia="Times New Roman" w:hAnsi="Arial" w:cs="Arial"/>
          <w:color w:val="000000"/>
          <w:sz w:val="16"/>
          <w:szCs w:val="16"/>
        </w:rPr>
        <w:t xml:space="preserve">esults for </w:t>
      </w:r>
      <w:r>
        <w:rPr>
          <w:rFonts w:ascii="Arial" w:eastAsia="Times New Roman" w:hAnsi="Arial" w:cs="Arial"/>
          <w:color w:val="000000"/>
          <w:sz w:val="16"/>
          <w:szCs w:val="16"/>
        </w:rPr>
        <w:t xml:space="preserve">T2DM remission </w:t>
      </w:r>
      <w:r w:rsidRPr="00AB7659">
        <w:rPr>
          <w:rFonts w:ascii="Arial" w:eastAsia="Times New Roman" w:hAnsi="Arial" w:cs="Arial"/>
          <w:color w:val="000000"/>
          <w:sz w:val="16"/>
          <w:szCs w:val="16"/>
        </w:rPr>
        <w:t xml:space="preserve">as related to </w:t>
      </w:r>
      <w:r>
        <w:rPr>
          <w:rFonts w:ascii="Arial" w:eastAsia="Times New Roman" w:hAnsi="Arial" w:cs="Arial"/>
          <w:color w:val="000000"/>
          <w:sz w:val="16"/>
          <w:szCs w:val="16"/>
        </w:rPr>
        <w:t xml:space="preserve">percent of weight lost from surgery date until date of remission or censoring, as compared to patients who lost 0-5% of their surgery </w:t>
      </w:r>
      <w:r w:rsidRPr="009700C7">
        <w:rPr>
          <w:rFonts w:ascii="Arial" w:eastAsia="Times New Roman" w:hAnsi="Arial" w:cs="Arial"/>
          <w:color w:val="000000"/>
          <w:sz w:val="16"/>
          <w:szCs w:val="16"/>
        </w:rPr>
        <w:t>weight.</w:t>
      </w:r>
      <w:r>
        <w:rPr>
          <w:rFonts w:ascii="Arial" w:eastAsia="Times New Roman" w:hAnsi="Arial" w:cs="Arial"/>
          <w:color w:val="000000"/>
          <w:sz w:val="16"/>
          <w:szCs w:val="16"/>
        </w:rPr>
        <w:t xml:space="preserve"> %TWL was modeled as a time-varying covariate, interacted with binary </w:t>
      </w:r>
      <w:proofErr w:type="spellStart"/>
      <w:r>
        <w:rPr>
          <w:rFonts w:ascii="Arial" w:eastAsia="Times New Roman" w:hAnsi="Arial" w:cs="Arial"/>
          <w:color w:val="000000"/>
          <w:sz w:val="16"/>
          <w:szCs w:val="16"/>
        </w:rPr>
        <w:t>DiaRem</w:t>
      </w:r>
      <w:proofErr w:type="spellEnd"/>
      <w:r>
        <w:rPr>
          <w:rFonts w:ascii="Arial" w:eastAsia="Times New Roman" w:hAnsi="Arial" w:cs="Arial"/>
          <w:color w:val="000000"/>
          <w:sz w:val="16"/>
          <w:szCs w:val="16"/>
        </w:rPr>
        <w:t xml:space="preserve"> (high vs low).</w:t>
      </w:r>
      <w:r w:rsidRPr="009700C7">
        <w:rPr>
          <w:rFonts w:ascii="Arial" w:eastAsia="Times New Roman" w:hAnsi="Arial" w:cs="Arial"/>
          <w:color w:val="000000"/>
          <w:sz w:val="16"/>
          <w:szCs w:val="16"/>
        </w:rPr>
        <w:t xml:space="preserve"> Sample is ENGAGE recipients of bariatric surgery who</w:t>
      </w:r>
      <w:r>
        <w:rPr>
          <w:rFonts w:ascii="Arial" w:eastAsia="Times New Roman" w:hAnsi="Arial" w:cs="Arial"/>
          <w:color w:val="000000"/>
          <w:sz w:val="16"/>
          <w:szCs w:val="16"/>
        </w:rPr>
        <w:t xml:space="preserve"> had T2DM at time of surgery and subsequently had their weight measured, had their weight measured at time of T2DM remission (if they remitted), and were not outliers (weight gain of &gt;0% or weight loss of &gt;50%)</w:t>
      </w:r>
      <w:r w:rsidRPr="009700C7">
        <w:rPr>
          <w:rFonts w:ascii="Arial" w:eastAsia="Times New Roman" w:hAnsi="Arial" w:cs="Arial"/>
          <w:color w:val="000000"/>
          <w:sz w:val="16"/>
          <w:szCs w:val="16"/>
        </w:rPr>
        <w:t xml:space="preserve">. HR (hazard ratios) adjust for surgery type, sex, race/ethnicity, age, age squared, HBA1C (quartiles), </w:t>
      </w:r>
      <w:proofErr w:type="spellStart"/>
      <w:r w:rsidRPr="009700C7">
        <w:rPr>
          <w:rFonts w:ascii="Arial" w:eastAsia="Times New Roman" w:hAnsi="Arial" w:cs="Arial"/>
          <w:color w:val="000000"/>
          <w:sz w:val="16"/>
          <w:szCs w:val="16"/>
        </w:rPr>
        <w:t>Elixhauser</w:t>
      </w:r>
      <w:proofErr w:type="spellEnd"/>
      <w:r w:rsidRPr="009700C7">
        <w:rPr>
          <w:rFonts w:ascii="Arial" w:eastAsia="Times New Roman" w:hAnsi="Arial" w:cs="Arial"/>
          <w:color w:val="000000"/>
          <w:sz w:val="16"/>
          <w:szCs w:val="16"/>
        </w:rPr>
        <w:t xml:space="preserve"> score (quartiles), BMI (quartiles), weight at surgery (quartiles), BMI</w:t>
      </w:r>
      <w:r>
        <w:rPr>
          <w:rFonts w:ascii="Arial" w:eastAsia="Times New Roman" w:hAnsi="Arial" w:cs="Arial"/>
          <w:color w:val="000000"/>
          <w:sz w:val="16"/>
          <w:szCs w:val="16"/>
        </w:rPr>
        <w:t>≥</w:t>
      </w:r>
      <w:r w:rsidRPr="009700C7">
        <w:rPr>
          <w:rFonts w:ascii="Arial" w:eastAsia="Times New Roman" w:hAnsi="Arial" w:cs="Arial"/>
          <w:color w:val="000000"/>
          <w:sz w:val="16"/>
          <w:szCs w:val="16"/>
        </w:rPr>
        <w:t>50 at surgery indicator, indicators for drug use in year and 3 months prior to surgery (aspirin, NSAIDs), number of diabetes drugs at surgery (indicators for 0, 1, and 2), drug use at surgery (dyslipidemia drugs, insulin), inpatient visits in year pre-surgery above median, emergency department visits in year pre-surgery above median, pre-surgery appointment attendance rate above median, pre-surgery weight change above median, and prior diagnosis indicators (hypertension, cirrhosis, sleep apnea, chronic kidney disease, serious mental condition, severe anxiety, mild to moderate anxiety). Abbreviations: HR (hazard ratio), CI (confidence interval), BMI (body mass index)</w:t>
      </w:r>
      <w:r>
        <w:rPr>
          <w:rFonts w:ascii="Arial" w:eastAsia="Times New Roman" w:hAnsi="Arial" w:cs="Arial"/>
          <w:color w:val="000000"/>
          <w:sz w:val="16"/>
          <w:szCs w:val="16"/>
        </w:rPr>
        <w:t>, TWL (total weight loss)</w:t>
      </w:r>
      <w:r w:rsidR="002C7BCD">
        <w:rPr>
          <w:rFonts w:ascii="Arial" w:eastAsia="Times New Roman" w:hAnsi="Arial" w:cs="Arial"/>
          <w:color w:val="000000"/>
          <w:sz w:val="16"/>
          <w:szCs w:val="16"/>
        </w:rPr>
        <w:t xml:space="preserve">, </w:t>
      </w:r>
      <w:r w:rsidR="002C7BCD" w:rsidRPr="00832888">
        <w:rPr>
          <w:rFonts w:ascii="Arial" w:eastAsia="Times New Roman" w:hAnsi="Arial" w:cs="Arial"/>
          <w:color w:val="000000"/>
          <w:sz w:val="16"/>
          <w:szCs w:val="16"/>
        </w:rPr>
        <w:t xml:space="preserve">T2DM (type 2 diabetes mellitus), RYGB (Roux-en-Y Gastric Bypass), </w:t>
      </w:r>
      <w:proofErr w:type="spellStart"/>
      <w:r w:rsidR="002C7BCD" w:rsidRPr="00832888">
        <w:rPr>
          <w:rFonts w:ascii="Arial" w:eastAsia="Times New Roman" w:hAnsi="Arial" w:cs="Arial"/>
          <w:color w:val="000000"/>
          <w:sz w:val="16"/>
          <w:szCs w:val="16"/>
        </w:rPr>
        <w:t>DiaRem</w:t>
      </w:r>
      <w:proofErr w:type="spellEnd"/>
      <w:r w:rsidR="002C7BCD" w:rsidRPr="00832888">
        <w:rPr>
          <w:rFonts w:ascii="Arial" w:eastAsia="Times New Roman" w:hAnsi="Arial" w:cs="Arial"/>
          <w:color w:val="000000"/>
          <w:sz w:val="16"/>
          <w:szCs w:val="16"/>
        </w:rPr>
        <w:t xml:space="preserve"> (Diabetes Remission Score), NSAIDS (non-steroidal anti-inflammatory drugs)</w:t>
      </w:r>
    </w:p>
    <w:p w14:paraId="6220B295" w14:textId="77777777" w:rsidR="002D21A2" w:rsidRDefault="002D21A2" w:rsidP="00F82A73">
      <w:pPr>
        <w:pStyle w:val="NoSpacing"/>
        <w:rPr>
          <w:rFonts w:ascii="Arial" w:hAnsi="Arial" w:cs="Arial"/>
          <w:b/>
          <w:sz w:val="20"/>
          <w:szCs w:val="20"/>
          <w:u w:val="single"/>
        </w:rPr>
      </w:pPr>
    </w:p>
    <w:p w14:paraId="5A627EE5" w14:textId="77777777" w:rsidR="00F82A73" w:rsidRDefault="00F82A73" w:rsidP="00F82A73">
      <w:pPr>
        <w:pStyle w:val="NoSpacing"/>
        <w:rPr>
          <w:rFonts w:ascii="Arial" w:hAnsi="Arial" w:cs="Arial"/>
          <w:b/>
          <w:sz w:val="20"/>
          <w:szCs w:val="20"/>
          <w:u w:val="single"/>
        </w:rPr>
      </w:pPr>
    </w:p>
    <w:p w14:paraId="221C7192" w14:textId="655C9EBD" w:rsidR="00F82A73" w:rsidRDefault="00BC04B2" w:rsidP="00F82A73">
      <w:pPr>
        <w:pStyle w:val="NoSpacing"/>
        <w:rPr>
          <w:rFonts w:ascii="Arial" w:hAnsi="Arial" w:cs="Arial"/>
          <w:bCs/>
          <w:sz w:val="20"/>
          <w:szCs w:val="20"/>
        </w:rPr>
      </w:pPr>
      <w:r>
        <w:rPr>
          <w:rFonts w:ascii="Arial" w:hAnsi="Arial" w:cs="Arial"/>
          <w:b/>
          <w:sz w:val="20"/>
          <w:szCs w:val="20"/>
          <w:u w:val="single"/>
        </w:rPr>
        <w:t>Figure S</w:t>
      </w:r>
      <w:r w:rsidR="00802FFD">
        <w:rPr>
          <w:rFonts w:ascii="Arial" w:hAnsi="Arial" w:cs="Arial"/>
          <w:b/>
          <w:sz w:val="20"/>
          <w:szCs w:val="20"/>
          <w:u w:val="single"/>
        </w:rPr>
        <w:t>3</w:t>
      </w:r>
      <w:r>
        <w:rPr>
          <w:rFonts w:ascii="Arial" w:hAnsi="Arial" w:cs="Arial"/>
          <w:b/>
          <w:sz w:val="20"/>
          <w:szCs w:val="20"/>
          <w:u w:val="single"/>
        </w:rPr>
        <w:t>.</w:t>
      </w:r>
      <w:r w:rsidR="00F82A73" w:rsidRPr="00BC04B2">
        <w:rPr>
          <w:rFonts w:ascii="Arial" w:hAnsi="Arial" w:cs="Arial"/>
          <w:bCs/>
          <w:sz w:val="20"/>
          <w:szCs w:val="20"/>
        </w:rPr>
        <w:t xml:space="preserve"> Association between type 2 diabetes (T2DM) remission and weight loss after bariatric surgery, stratified by body mass index (BMI)</w:t>
      </w:r>
      <w:r>
        <w:rPr>
          <w:rFonts w:ascii="Arial" w:hAnsi="Arial" w:cs="Arial"/>
          <w:bCs/>
          <w:sz w:val="20"/>
          <w:szCs w:val="20"/>
        </w:rPr>
        <w:t>.</w:t>
      </w:r>
    </w:p>
    <w:p w14:paraId="71C68D8F" w14:textId="77777777" w:rsidR="0026405B" w:rsidRDefault="0026405B" w:rsidP="00F82A73">
      <w:pPr>
        <w:pStyle w:val="NoSpacing"/>
        <w:rPr>
          <w:rFonts w:ascii="Arial" w:hAnsi="Arial" w:cs="Arial"/>
          <w:bCs/>
          <w:sz w:val="20"/>
          <w:szCs w:val="20"/>
        </w:rPr>
      </w:pPr>
    </w:p>
    <w:p w14:paraId="380701B7" w14:textId="300D77D5" w:rsidR="00C05B0F" w:rsidRDefault="00802BB6" w:rsidP="00A6296D">
      <w:pPr>
        <w:pStyle w:val="NoSpacing"/>
        <w:rPr>
          <w:rFonts w:ascii="Arial" w:hAnsi="Arial" w:cs="Arial"/>
          <w:sz w:val="20"/>
          <w:szCs w:val="20"/>
        </w:rPr>
      </w:pPr>
      <w:r>
        <w:rPr>
          <w:noProof/>
        </w:rPr>
        <w:drawing>
          <wp:inline distT="0" distB="0" distL="0" distR="0" wp14:anchorId="5D448030" wp14:editId="47FBDDB5">
            <wp:extent cx="6675120" cy="30816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5120" cy="3081655"/>
                    </a:xfrm>
                    <a:prstGeom prst="rect">
                      <a:avLst/>
                    </a:prstGeom>
                    <a:noFill/>
                    <a:ln>
                      <a:noFill/>
                    </a:ln>
                  </pic:spPr>
                </pic:pic>
              </a:graphicData>
            </a:graphic>
          </wp:inline>
        </w:drawing>
      </w:r>
    </w:p>
    <w:p w14:paraId="7A6DAA9B" w14:textId="66E11C34" w:rsidR="00ED7735" w:rsidRPr="00A6296D" w:rsidRDefault="00ED7735" w:rsidP="00ED7735">
      <w:pPr>
        <w:pStyle w:val="NoSpacing"/>
        <w:jc w:val="both"/>
        <w:rPr>
          <w:rFonts w:ascii="Arial" w:hAnsi="Arial" w:cs="Arial"/>
          <w:sz w:val="20"/>
          <w:szCs w:val="20"/>
        </w:rPr>
      </w:pPr>
      <w:r>
        <w:rPr>
          <w:rFonts w:ascii="Arial" w:eastAsia="Times New Roman" w:hAnsi="Arial" w:cs="Arial"/>
          <w:color w:val="000000"/>
          <w:sz w:val="16"/>
          <w:szCs w:val="16"/>
        </w:rPr>
        <w:t>Cox proportional hazard model r</w:t>
      </w:r>
      <w:r w:rsidRPr="00AB7659">
        <w:rPr>
          <w:rFonts w:ascii="Arial" w:eastAsia="Times New Roman" w:hAnsi="Arial" w:cs="Arial"/>
          <w:color w:val="000000"/>
          <w:sz w:val="16"/>
          <w:szCs w:val="16"/>
        </w:rPr>
        <w:t xml:space="preserve">esults for </w:t>
      </w:r>
      <w:r>
        <w:rPr>
          <w:rFonts w:ascii="Arial" w:eastAsia="Times New Roman" w:hAnsi="Arial" w:cs="Arial"/>
          <w:color w:val="000000"/>
          <w:sz w:val="16"/>
          <w:szCs w:val="16"/>
        </w:rPr>
        <w:t xml:space="preserve">T2DM remission </w:t>
      </w:r>
      <w:r w:rsidRPr="00AB7659">
        <w:rPr>
          <w:rFonts w:ascii="Arial" w:eastAsia="Times New Roman" w:hAnsi="Arial" w:cs="Arial"/>
          <w:color w:val="000000"/>
          <w:sz w:val="16"/>
          <w:szCs w:val="16"/>
        </w:rPr>
        <w:t xml:space="preserve">as related to </w:t>
      </w:r>
      <w:r>
        <w:rPr>
          <w:rFonts w:ascii="Arial" w:eastAsia="Times New Roman" w:hAnsi="Arial" w:cs="Arial"/>
          <w:color w:val="000000"/>
          <w:sz w:val="16"/>
          <w:szCs w:val="16"/>
        </w:rPr>
        <w:t xml:space="preserve">percent of weight lost from surgery date until date of remission or censoring, as compared to patients who lost 0-5% of their surgery </w:t>
      </w:r>
      <w:r w:rsidRPr="009700C7">
        <w:rPr>
          <w:rFonts w:ascii="Arial" w:eastAsia="Times New Roman" w:hAnsi="Arial" w:cs="Arial"/>
          <w:color w:val="000000"/>
          <w:sz w:val="16"/>
          <w:szCs w:val="16"/>
        </w:rPr>
        <w:t>weight.</w:t>
      </w:r>
      <w:r>
        <w:rPr>
          <w:rFonts w:ascii="Arial" w:eastAsia="Times New Roman" w:hAnsi="Arial" w:cs="Arial"/>
          <w:color w:val="000000"/>
          <w:sz w:val="16"/>
          <w:szCs w:val="16"/>
        </w:rPr>
        <w:t xml:space="preserve"> %TWL was modeled as a time-varying covariate, interacted with binary BMI (&lt;50 vs </w:t>
      </w:r>
      <w:r>
        <w:rPr>
          <w:rFonts w:ascii="Arial" w:eastAsia="Times New Roman" w:hAnsi="Arial" w:cs="Arial"/>
          <w:color w:val="000000"/>
          <w:sz w:val="16"/>
          <w:szCs w:val="16"/>
        </w:rPr>
        <w:lastRenderedPageBreak/>
        <w:t>≥50).</w:t>
      </w:r>
      <w:r w:rsidRPr="009700C7">
        <w:rPr>
          <w:rFonts w:ascii="Arial" w:eastAsia="Times New Roman" w:hAnsi="Arial" w:cs="Arial"/>
          <w:color w:val="000000"/>
          <w:sz w:val="16"/>
          <w:szCs w:val="16"/>
        </w:rPr>
        <w:t xml:space="preserve"> Sample is ENGAGE recipients of bariatric surgery who</w:t>
      </w:r>
      <w:r>
        <w:rPr>
          <w:rFonts w:ascii="Arial" w:eastAsia="Times New Roman" w:hAnsi="Arial" w:cs="Arial"/>
          <w:color w:val="000000"/>
          <w:sz w:val="16"/>
          <w:szCs w:val="16"/>
        </w:rPr>
        <w:t xml:space="preserve"> had T2DM at time of surgery and subsequently had their weight measured, had their weight measured at time of T2DM remission (if they remitted), and were not outliers (weight gain of &gt;0% or weight loss of &gt;50%)</w:t>
      </w:r>
      <w:r w:rsidRPr="009700C7">
        <w:rPr>
          <w:rFonts w:ascii="Arial" w:eastAsia="Times New Roman" w:hAnsi="Arial" w:cs="Arial"/>
          <w:color w:val="000000"/>
          <w:sz w:val="16"/>
          <w:szCs w:val="16"/>
        </w:rPr>
        <w:t xml:space="preserve">. HR (hazard ratios) adjust for surgery type, sex, race/ethnicity, age, age squared, HBA1C (quartiles), </w:t>
      </w:r>
      <w:proofErr w:type="spellStart"/>
      <w:r>
        <w:rPr>
          <w:rFonts w:ascii="Arial" w:eastAsia="Times New Roman" w:hAnsi="Arial" w:cs="Arial"/>
          <w:color w:val="000000"/>
          <w:sz w:val="16"/>
          <w:szCs w:val="16"/>
        </w:rPr>
        <w:t>DiaRem</w:t>
      </w:r>
      <w:proofErr w:type="spellEnd"/>
      <w:r w:rsidRPr="009700C7">
        <w:rPr>
          <w:rFonts w:ascii="Arial" w:eastAsia="Times New Roman" w:hAnsi="Arial" w:cs="Arial"/>
          <w:color w:val="000000"/>
          <w:sz w:val="16"/>
          <w:szCs w:val="16"/>
        </w:rPr>
        <w:t xml:space="preserve"> score (quartiles), </w:t>
      </w:r>
      <w:proofErr w:type="spellStart"/>
      <w:r w:rsidRPr="009700C7">
        <w:rPr>
          <w:rFonts w:ascii="Arial" w:eastAsia="Times New Roman" w:hAnsi="Arial" w:cs="Arial"/>
          <w:color w:val="000000"/>
          <w:sz w:val="16"/>
          <w:szCs w:val="16"/>
        </w:rPr>
        <w:t>Elixhauser</w:t>
      </w:r>
      <w:proofErr w:type="spellEnd"/>
      <w:r w:rsidRPr="009700C7">
        <w:rPr>
          <w:rFonts w:ascii="Arial" w:eastAsia="Times New Roman" w:hAnsi="Arial" w:cs="Arial"/>
          <w:color w:val="000000"/>
          <w:sz w:val="16"/>
          <w:szCs w:val="16"/>
        </w:rPr>
        <w:t xml:space="preserve"> score (quartiles), weight at surgery (quartiles), indicators for drug use in year and 3 months prior to surgery (aspirin, NSAIDs), number of diabetes drugs at surgery (indicators for 0, 1, and 2), drug use at surgery (dyslipidemia drugs, insulin), inpatient visits in year pre-surgery above median, emergency department visits in year pre-surgery above median, pre-surgery appointment attendance rate above median, pre-surgery weight change above median, and prior diagnosis indicators (hypertension, cirrhosis, sleep apnea, chronic kidney disease, serious mental condition, severe anxiety, mild to moderate anxiety). Abbreviations: HR (hazard ratio), CI (confidence interval), BMI (body mass index)</w:t>
      </w:r>
      <w:r>
        <w:rPr>
          <w:rFonts w:ascii="Arial" w:eastAsia="Times New Roman" w:hAnsi="Arial" w:cs="Arial"/>
          <w:color w:val="000000"/>
          <w:sz w:val="16"/>
          <w:szCs w:val="16"/>
        </w:rPr>
        <w:t>, TWL (total weight loss)</w:t>
      </w:r>
      <w:r w:rsidR="002C7BCD">
        <w:rPr>
          <w:rFonts w:ascii="Arial" w:eastAsia="Times New Roman" w:hAnsi="Arial" w:cs="Arial"/>
          <w:color w:val="000000"/>
          <w:sz w:val="16"/>
          <w:szCs w:val="16"/>
        </w:rPr>
        <w:t xml:space="preserve">, </w:t>
      </w:r>
      <w:r w:rsidR="002C7BCD" w:rsidRPr="00832888">
        <w:rPr>
          <w:rFonts w:ascii="Arial" w:eastAsia="Times New Roman" w:hAnsi="Arial" w:cs="Arial"/>
          <w:color w:val="000000"/>
          <w:sz w:val="16"/>
          <w:szCs w:val="16"/>
        </w:rPr>
        <w:t xml:space="preserve">T2DM (type 2 diabetes mellitus), RYGB (Roux-en-Y Gastric Bypass), </w:t>
      </w:r>
      <w:proofErr w:type="spellStart"/>
      <w:r w:rsidR="002C7BCD" w:rsidRPr="00832888">
        <w:rPr>
          <w:rFonts w:ascii="Arial" w:eastAsia="Times New Roman" w:hAnsi="Arial" w:cs="Arial"/>
          <w:color w:val="000000"/>
          <w:sz w:val="16"/>
          <w:szCs w:val="16"/>
        </w:rPr>
        <w:t>DiaRem</w:t>
      </w:r>
      <w:proofErr w:type="spellEnd"/>
      <w:r w:rsidR="002C7BCD" w:rsidRPr="00832888">
        <w:rPr>
          <w:rFonts w:ascii="Arial" w:eastAsia="Times New Roman" w:hAnsi="Arial" w:cs="Arial"/>
          <w:color w:val="000000"/>
          <w:sz w:val="16"/>
          <w:szCs w:val="16"/>
        </w:rPr>
        <w:t xml:space="preserve"> (Diabetes Remission Score), NSAIDS (non-steroidal anti-inflammatory drugs)</w:t>
      </w:r>
    </w:p>
    <w:p w14:paraId="140F6D99" w14:textId="77777777" w:rsidR="003A5B17" w:rsidRDefault="003A5B17" w:rsidP="00A6296D">
      <w:pPr>
        <w:pStyle w:val="NoSpacing"/>
        <w:rPr>
          <w:rFonts w:ascii="Arial" w:hAnsi="Arial" w:cs="Arial"/>
          <w:sz w:val="20"/>
          <w:szCs w:val="20"/>
        </w:rPr>
      </w:pPr>
    </w:p>
    <w:p w14:paraId="3EA21536" w14:textId="2D42A442" w:rsidR="00D41739" w:rsidRDefault="00BC04B2" w:rsidP="00A6296D">
      <w:pPr>
        <w:pStyle w:val="NoSpacing"/>
        <w:rPr>
          <w:rFonts w:ascii="Arial" w:hAnsi="Arial" w:cs="Arial"/>
          <w:bCs/>
          <w:sz w:val="20"/>
          <w:szCs w:val="20"/>
        </w:rPr>
      </w:pPr>
      <w:r w:rsidRPr="00BC04B2">
        <w:rPr>
          <w:rFonts w:ascii="Arial" w:hAnsi="Arial" w:cs="Arial"/>
          <w:b/>
          <w:sz w:val="20"/>
          <w:szCs w:val="20"/>
          <w:u w:val="single"/>
        </w:rPr>
        <w:t>Figure S</w:t>
      </w:r>
      <w:r w:rsidR="00802FFD">
        <w:rPr>
          <w:rFonts w:ascii="Arial" w:hAnsi="Arial" w:cs="Arial"/>
          <w:b/>
          <w:sz w:val="20"/>
          <w:szCs w:val="20"/>
          <w:u w:val="single"/>
        </w:rPr>
        <w:t>4</w:t>
      </w:r>
      <w:r>
        <w:rPr>
          <w:rFonts w:ascii="Arial" w:hAnsi="Arial" w:cs="Arial"/>
          <w:bCs/>
          <w:sz w:val="20"/>
          <w:szCs w:val="20"/>
        </w:rPr>
        <w:t xml:space="preserve">. </w:t>
      </w:r>
      <w:r w:rsidR="00F82A73" w:rsidRPr="00BC04B2">
        <w:rPr>
          <w:rFonts w:ascii="Arial" w:hAnsi="Arial" w:cs="Arial"/>
          <w:bCs/>
          <w:sz w:val="20"/>
          <w:szCs w:val="20"/>
        </w:rPr>
        <w:t xml:space="preserve">Association between type 2 diabetes (T2DM) remission and weight loss after bariatric surgery, stratified by </w:t>
      </w:r>
      <w:r w:rsidR="00D41739" w:rsidRPr="00BC04B2">
        <w:rPr>
          <w:rFonts w:ascii="Arial" w:hAnsi="Arial" w:cs="Arial"/>
          <w:bCs/>
          <w:sz w:val="20"/>
          <w:szCs w:val="20"/>
        </w:rPr>
        <w:t>age</w:t>
      </w:r>
      <w:r>
        <w:rPr>
          <w:rFonts w:ascii="Arial" w:hAnsi="Arial" w:cs="Arial"/>
          <w:bCs/>
          <w:sz w:val="20"/>
          <w:szCs w:val="20"/>
        </w:rPr>
        <w:t>.</w:t>
      </w:r>
    </w:p>
    <w:p w14:paraId="2DDE37D6" w14:textId="77777777" w:rsidR="0026405B" w:rsidRDefault="0026405B" w:rsidP="00A6296D">
      <w:pPr>
        <w:pStyle w:val="NoSpacing"/>
        <w:rPr>
          <w:rFonts w:ascii="Arial" w:hAnsi="Arial" w:cs="Arial"/>
          <w:bCs/>
          <w:sz w:val="20"/>
          <w:szCs w:val="20"/>
        </w:rPr>
      </w:pPr>
    </w:p>
    <w:p w14:paraId="42ED382C" w14:textId="1BDBCC1E" w:rsidR="00A91454" w:rsidRDefault="00802BB6" w:rsidP="00A6296D">
      <w:pPr>
        <w:pStyle w:val="NoSpacing"/>
        <w:rPr>
          <w:rFonts w:ascii="Arial" w:hAnsi="Arial" w:cs="Arial"/>
          <w:sz w:val="20"/>
          <w:szCs w:val="20"/>
        </w:rPr>
      </w:pPr>
      <w:r>
        <w:rPr>
          <w:noProof/>
        </w:rPr>
        <w:drawing>
          <wp:inline distT="0" distB="0" distL="0" distR="0" wp14:anchorId="74F564EF" wp14:editId="6341F2AE">
            <wp:extent cx="6675120" cy="2908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5120" cy="2908300"/>
                    </a:xfrm>
                    <a:prstGeom prst="rect">
                      <a:avLst/>
                    </a:prstGeom>
                    <a:noFill/>
                    <a:ln>
                      <a:noFill/>
                    </a:ln>
                  </pic:spPr>
                </pic:pic>
              </a:graphicData>
            </a:graphic>
          </wp:inline>
        </w:drawing>
      </w:r>
    </w:p>
    <w:p w14:paraId="2F959BAF" w14:textId="2C9412A8" w:rsidR="00427A2C" w:rsidRPr="00A6296D" w:rsidRDefault="00427A2C" w:rsidP="00427A2C">
      <w:pPr>
        <w:pStyle w:val="NoSpacing"/>
        <w:jc w:val="both"/>
        <w:rPr>
          <w:rFonts w:ascii="Arial" w:hAnsi="Arial" w:cs="Arial"/>
          <w:sz w:val="20"/>
          <w:szCs w:val="20"/>
        </w:rPr>
      </w:pPr>
      <w:r>
        <w:rPr>
          <w:rFonts w:ascii="Arial" w:eastAsia="Times New Roman" w:hAnsi="Arial" w:cs="Arial"/>
          <w:color w:val="000000"/>
          <w:sz w:val="16"/>
          <w:szCs w:val="16"/>
        </w:rPr>
        <w:t>Cox proportional hazard model r</w:t>
      </w:r>
      <w:r w:rsidRPr="00AB7659">
        <w:rPr>
          <w:rFonts w:ascii="Arial" w:eastAsia="Times New Roman" w:hAnsi="Arial" w:cs="Arial"/>
          <w:color w:val="000000"/>
          <w:sz w:val="16"/>
          <w:szCs w:val="16"/>
        </w:rPr>
        <w:t xml:space="preserve">esults for </w:t>
      </w:r>
      <w:r>
        <w:rPr>
          <w:rFonts w:ascii="Arial" w:eastAsia="Times New Roman" w:hAnsi="Arial" w:cs="Arial"/>
          <w:color w:val="000000"/>
          <w:sz w:val="16"/>
          <w:szCs w:val="16"/>
        </w:rPr>
        <w:t xml:space="preserve">T2DM remission </w:t>
      </w:r>
      <w:r w:rsidRPr="00AB7659">
        <w:rPr>
          <w:rFonts w:ascii="Arial" w:eastAsia="Times New Roman" w:hAnsi="Arial" w:cs="Arial"/>
          <w:color w:val="000000"/>
          <w:sz w:val="16"/>
          <w:szCs w:val="16"/>
        </w:rPr>
        <w:t xml:space="preserve">as related to </w:t>
      </w:r>
      <w:r>
        <w:rPr>
          <w:rFonts w:ascii="Arial" w:eastAsia="Times New Roman" w:hAnsi="Arial" w:cs="Arial"/>
          <w:color w:val="000000"/>
          <w:sz w:val="16"/>
          <w:szCs w:val="16"/>
        </w:rPr>
        <w:t xml:space="preserve">percent of weight lost from surgery date until date of remission or censoring, as compared to patients who lost 0-5% of their surgery </w:t>
      </w:r>
      <w:r w:rsidRPr="009700C7">
        <w:rPr>
          <w:rFonts w:ascii="Arial" w:eastAsia="Times New Roman" w:hAnsi="Arial" w:cs="Arial"/>
          <w:color w:val="000000"/>
          <w:sz w:val="16"/>
          <w:szCs w:val="16"/>
        </w:rPr>
        <w:t>weight.</w:t>
      </w:r>
      <w:r>
        <w:rPr>
          <w:rFonts w:ascii="Arial" w:eastAsia="Times New Roman" w:hAnsi="Arial" w:cs="Arial"/>
          <w:color w:val="000000"/>
          <w:sz w:val="16"/>
          <w:szCs w:val="16"/>
        </w:rPr>
        <w:t xml:space="preserve"> %TWL was modeled as a time-varying covariate, interacted with binary age (&lt; 65 vs. ≥65).</w:t>
      </w:r>
      <w:r w:rsidRPr="009700C7">
        <w:rPr>
          <w:rFonts w:ascii="Arial" w:eastAsia="Times New Roman" w:hAnsi="Arial" w:cs="Arial"/>
          <w:color w:val="000000"/>
          <w:sz w:val="16"/>
          <w:szCs w:val="16"/>
        </w:rPr>
        <w:t xml:space="preserve"> Sample is ENGAGE recipients of bariatric surgery who</w:t>
      </w:r>
      <w:r>
        <w:rPr>
          <w:rFonts w:ascii="Arial" w:eastAsia="Times New Roman" w:hAnsi="Arial" w:cs="Arial"/>
          <w:color w:val="000000"/>
          <w:sz w:val="16"/>
          <w:szCs w:val="16"/>
        </w:rPr>
        <w:t xml:space="preserve"> had T2DM at time of surgery and subsequently had their weight measured, had their weight measured at time of T2DM remission (if they remitted), and were not outliers (weight gain of &gt;0% or weight loss of &gt;50%)</w:t>
      </w:r>
      <w:r w:rsidRPr="009700C7">
        <w:rPr>
          <w:rFonts w:ascii="Arial" w:eastAsia="Times New Roman" w:hAnsi="Arial" w:cs="Arial"/>
          <w:color w:val="000000"/>
          <w:sz w:val="16"/>
          <w:szCs w:val="16"/>
        </w:rPr>
        <w:t xml:space="preserve">. HR (hazard ratios) adjust for surgery type, sex, race/ethnicity, HBA1C (quartiles), </w:t>
      </w:r>
      <w:proofErr w:type="spellStart"/>
      <w:r>
        <w:rPr>
          <w:rFonts w:ascii="Arial" w:eastAsia="Times New Roman" w:hAnsi="Arial" w:cs="Arial"/>
          <w:color w:val="000000"/>
          <w:sz w:val="16"/>
          <w:szCs w:val="16"/>
        </w:rPr>
        <w:t>DiaRem</w:t>
      </w:r>
      <w:proofErr w:type="spellEnd"/>
      <w:r w:rsidRPr="009700C7">
        <w:rPr>
          <w:rFonts w:ascii="Arial" w:eastAsia="Times New Roman" w:hAnsi="Arial" w:cs="Arial"/>
          <w:color w:val="000000"/>
          <w:sz w:val="16"/>
          <w:szCs w:val="16"/>
        </w:rPr>
        <w:t xml:space="preserve"> score (quartiles), </w:t>
      </w:r>
      <w:proofErr w:type="spellStart"/>
      <w:r w:rsidRPr="009700C7">
        <w:rPr>
          <w:rFonts w:ascii="Arial" w:eastAsia="Times New Roman" w:hAnsi="Arial" w:cs="Arial"/>
          <w:color w:val="000000"/>
          <w:sz w:val="16"/>
          <w:szCs w:val="16"/>
        </w:rPr>
        <w:t>Elixhauser</w:t>
      </w:r>
      <w:proofErr w:type="spellEnd"/>
      <w:r w:rsidRPr="009700C7">
        <w:rPr>
          <w:rFonts w:ascii="Arial" w:eastAsia="Times New Roman" w:hAnsi="Arial" w:cs="Arial"/>
          <w:color w:val="000000"/>
          <w:sz w:val="16"/>
          <w:szCs w:val="16"/>
        </w:rPr>
        <w:t xml:space="preserve"> score (quartiles), BMI (quartiles), weight at surgery (quartiles), BMI</w:t>
      </w:r>
      <w:r>
        <w:rPr>
          <w:rFonts w:ascii="Arial" w:eastAsia="Times New Roman" w:hAnsi="Arial" w:cs="Arial"/>
          <w:color w:val="000000"/>
          <w:sz w:val="16"/>
          <w:szCs w:val="16"/>
        </w:rPr>
        <w:t>≥</w:t>
      </w:r>
      <w:r w:rsidRPr="009700C7">
        <w:rPr>
          <w:rFonts w:ascii="Arial" w:eastAsia="Times New Roman" w:hAnsi="Arial" w:cs="Arial"/>
          <w:color w:val="000000"/>
          <w:sz w:val="16"/>
          <w:szCs w:val="16"/>
        </w:rPr>
        <w:t>50 at surgery indicator, indicators for drug use in year and 3 months prior to surgery (aspirin, NSAIDs), number of diabetes drugs at surgery (indicators for 0, 1, and 2), drug use at surgery (dyslipidemia drugs, insulin), inpatient visits in year pre-surgery above median, emergency department visits in year pre-surgery above median, pre-surgery appointment attendance rate above median, pre-surgery weight change above median, and prior diagnosis indicators (hypertension, cirrhosis, sleep apnea, chronic kidney disease, serious mental condition, severe anxiety, mild to moderate anxiety). Abbreviations: HR (hazard ratio), CI (confidence interval), BMI (body mass index)</w:t>
      </w:r>
      <w:r>
        <w:rPr>
          <w:rFonts w:ascii="Arial" w:eastAsia="Times New Roman" w:hAnsi="Arial" w:cs="Arial"/>
          <w:color w:val="000000"/>
          <w:sz w:val="16"/>
          <w:szCs w:val="16"/>
        </w:rPr>
        <w:t>, TWL (total weight loss)</w:t>
      </w:r>
      <w:r w:rsidR="002C7BCD">
        <w:rPr>
          <w:rFonts w:ascii="Arial" w:eastAsia="Times New Roman" w:hAnsi="Arial" w:cs="Arial"/>
          <w:color w:val="000000"/>
          <w:sz w:val="16"/>
          <w:szCs w:val="16"/>
        </w:rPr>
        <w:t xml:space="preserve">, </w:t>
      </w:r>
      <w:r w:rsidR="002C7BCD" w:rsidRPr="00832888">
        <w:rPr>
          <w:rFonts w:ascii="Arial" w:eastAsia="Times New Roman" w:hAnsi="Arial" w:cs="Arial"/>
          <w:color w:val="000000"/>
          <w:sz w:val="16"/>
          <w:szCs w:val="16"/>
        </w:rPr>
        <w:t xml:space="preserve">T2DM (type 2 diabetes mellitus), RYGB (Roux-en-Y Gastric Bypass), </w:t>
      </w:r>
      <w:proofErr w:type="spellStart"/>
      <w:r w:rsidR="002C7BCD" w:rsidRPr="00832888">
        <w:rPr>
          <w:rFonts w:ascii="Arial" w:eastAsia="Times New Roman" w:hAnsi="Arial" w:cs="Arial"/>
          <w:color w:val="000000"/>
          <w:sz w:val="16"/>
          <w:szCs w:val="16"/>
        </w:rPr>
        <w:t>DiaRem</w:t>
      </w:r>
      <w:proofErr w:type="spellEnd"/>
      <w:r w:rsidR="002C7BCD" w:rsidRPr="00832888">
        <w:rPr>
          <w:rFonts w:ascii="Arial" w:eastAsia="Times New Roman" w:hAnsi="Arial" w:cs="Arial"/>
          <w:color w:val="000000"/>
          <w:sz w:val="16"/>
          <w:szCs w:val="16"/>
        </w:rPr>
        <w:t xml:space="preserve"> (Diabetes Remission Score), NSAIDS (non-steroidal anti-inflammatory drugs)</w:t>
      </w:r>
      <w:r w:rsidR="009A303F">
        <w:rPr>
          <w:rFonts w:ascii="Arial" w:eastAsia="Times New Roman" w:hAnsi="Arial" w:cs="Arial"/>
          <w:color w:val="000000"/>
          <w:sz w:val="16"/>
          <w:szCs w:val="16"/>
        </w:rPr>
        <w:t>.</w:t>
      </w:r>
    </w:p>
    <w:p w14:paraId="5FB52EAE" w14:textId="77777777" w:rsidR="003A5B17" w:rsidRDefault="003A5B17" w:rsidP="00A6296D">
      <w:pPr>
        <w:pStyle w:val="NoSpacing"/>
        <w:rPr>
          <w:rFonts w:ascii="Arial" w:hAnsi="Arial" w:cs="Arial"/>
          <w:sz w:val="20"/>
          <w:szCs w:val="20"/>
        </w:rPr>
      </w:pPr>
    </w:p>
    <w:p w14:paraId="6D17E00A" w14:textId="77777777" w:rsidR="00C50A48" w:rsidRDefault="00C50A48" w:rsidP="00C50A48">
      <w:pPr>
        <w:rPr>
          <w:rFonts w:ascii="Arial" w:hAnsi="Arial" w:cs="Arial"/>
          <w:b/>
          <w:sz w:val="20"/>
          <w:szCs w:val="20"/>
          <w:u w:val="single"/>
        </w:rPr>
      </w:pPr>
    </w:p>
    <w:p w14:paraId="7D981000" w14:textId="77777777" w:rsidR="00C50A48" w:rsidRDefault="00C50A48" w:rsidP="00C50A48">
      <w:pPr>
        <w:rPr>
          <w:rFonts w:ascii="Arial" w:hAnsi="Arial" w:cs="Arial"/>
          <w:b/>
          <w:sz w:val="20"/>
          <w:szCs w:val="20"/>
          <w:u w:val="single"/>
        </w:rPr>
      </w:pPr>
    </w:p>
    <w:p w14:paraId="2E1EBFE9" w14:textId="77777777" w:rsidR="00C50A48" w:rsidRDefault="00C50A48" w:rsidP="00C50A48">
      <w:pPr>
        <w:rPr>
          <w:rFonts w:ascii="Arial" w:hAnsi="Arial" w:cs="Arial"/>
          <w:b/>
          <w:sz w:val="20"/>
          <w:szCs w:val="20"/>
          <w:u w:val="single"/>
        </w:rPr>
      </w:pPr>
    </w:p>
    <w:p w14:paraId="7B17C478" w14:textId="77777777" w:rsidR="00C50A48" w:rsidRDefault="00C50A48" w:rsidP="00C50A48">
      <w:pPr>
        <w:rPr>
          <w:rFonts w:ascii="Arial" w:hAnsi="Arial" w:cs="Arial"/>
          <w:b/>
          <w:sz w:val="20"/>
          <w:szCs w:val="20"/>
          <w:u w:val="single"/>
        </w:rPr>
      </w:pPr>
    </w:p>
    <w:p w14:paraId="798D5390" w14:textId="77777777" w:rsidR="00C50A48" w:rsidRDefault="00C50A48" w:rsidP="00C50A48">
      <w:pPr>
        <w:rPr>
          <w:rFonts w:ascii="Arial" w:hAnsi="Arial" w:cs="Arial"/>
          <w:b/>
          <w:sz w:val="20"/>
          <w:szCs w:val="20"/>
          <w:u w:val="single"/>
        </w:rPr>
      </w:pPr>
    </w:p>
    <w:p w14:paraId="4BFF6776" w14:textId="77777777" w:rsidR="00C50A48" w:rsidRDefault="00C50A48" w:rsidP="00C50A48">
      <w:pPr>
        <w:rPr>
          <w:rFonts w:ascii="Arial" w:hAnsi="Arial" w:cs="Arial"/>
          <w:b/>
          <w:sz w:val="20"/>
          <w:szCs w:val="20"/>
          <w:u w:val="single"/>
        </w:rPr>
      </w:pPr>
    </w:p>
    <w:p w14:paraId="1121D702" w14:textId="77777777" w:rsidR="00C50A48" w:rsidRDefault="00C50A48" w:rsidP="00C50A48">
      <w:pPr>
        <w:rPr>
          <w:rFonts w:ascii="Arial" w:hAnsi="Arial" w:cs="Arial"/>
          <w:b/>
          <w:sz w:val="20"/>
          <w:szCs w:val="20"/>
          <w:u w:val="single"/>
        </w:rPr>
      </w:pPr>
    </w:p>
    <w:p w14:paraId="33FDD85E" w14:textId="77777777" w:rsidR="00C50A48" w:rsidRDefault="00C50A48" w:rsidP="00C50A48">
      <w:pPr>
        <w:rPr>
          <w:rFonts w:ascii="Arial" w:hAnsi="Arial" w:cs="Arial"/>
          <w:b/>
          <w:sz w:val="20"/>
          <w:szCs w:val="20"/>
          <w:u w:val="single"/>
        </w:rPr>
      </w:pPr>
    </w:p>
    <w:p w14:paraId="54115F8A" w14:textId="77777777" w:rsidR="00C50A48" w:rsidRDefault="00C50A48" w:rsidP="00C50A48">
      <w:pPr>
        <w:rPr>
          <w:rFonts w:ascii="Arial" w:hAnsi="Arial" w:cs="Arial"/>
          <w:b/>
          <w:sz w:val="20"/>
          <w:szCs w:val="20"/>
          <w:u w:val="single"/>
        </w:rPr>
      </w:pPr>
    </w:p>
    <w:p w14:paraId="2A557469" w14:textId="77777777" w:rsidR="00C50A48" w:rsidRDefault="00C50A48" w:rsidP="00C50A48">
      <w:pPr>
        <w:rPr>
          <w:rFonts w:ascii="Arial" w:hAnsi="Arial" w:cs="Arial"/>
          <w:b/>
          <w:sz w:val="20"/>
          <w:szCs w:val="20"/>
          <w:u w:val="single"/>
        </w:rPr>
      </w:pPr>
    </w:p>
    <w:p w14:paraId="0EB1954A" w14:textId="77777777" w:rsidR="00C50A48" w:rsidRDefault="00C50A48" w:rsidP="00C50A48">
      <w:pPr>
        <w:rPr>
          <w:rFonts w:ascii="Arial" w:hAnsi="Arial" w:cs="Arial"/>
          <w:b/>
          <w:sz w:val="20"/>
          <w:szCs w:val="20"/>
          <w:u w:val="single"/>
        </w:rPr>
      </w:pPr>
    </w:p>
    <w:p w14:paraId="48C86A00" w14:textId="77777777" w:rsidR="00C50A48" w:rsidRDefault="00C50A48" w:rsidP="00C50A48">
      <w:pPr>
        <w:rPr>
          <w:rFonts w:ascii="Arial" w:hAnsi="Arial" w:cs="Arial"/>
          <w:b/>
          <w:sz w:val="20"/>
          <w:szCs w:val="20"/>
          <w:u w:val="single"/>
        </w:rPr>
      </w:pPr>
    </w:p>
    <w:p w14:paraId="3BAACA82" w14:textId="70A44B85" w:rsidR="0026405B" w:rsidRDefault="00BC04B2" w:rsidP="00C50A48">
      <w:pPr>
        <w:rPr>
          <w:rFonts w:ascii="Arial" w:hAnsi="Arial" w:cs="Arial"/>
          <w:bCs/>
          <w:sz w:val="20"/>
          <w:szCs w:val="20"/>
        </w:rPr>
      </w:pPr>
      <w:r>
        <w:rPr>
          <w:rFonts w:ascii="Arial" w:hAnsi="Arial" w:cs="Arial"/>
          <w:b/>
          <w:sz w:val="20"/>
          <w:szCs w:val="20"/>
          <w:u w:val="single"/>
        </w:rPr>
        <w:t>Figure S</w:t>
      </w:r>
      <w:r w:rsidR="00802FFD">
        <w:rPr>
          <w:rFonts w:ascii="Arial" w:hAnsi="Arial" w:cs="Arial"/>
          <w:b/>
          <w:sz w:val="20"/>
          <w:szCs w:val="20"/>
          <w:u w:val="single"/>
        </w:rPr>
        <w:t>5</w:t>
      </w:r>
      <w:r>
        <w:rPr>
          <w:rFonts w:ascii="Arial" w:hAnsi="Arial" w:cs="Arial"/>
          <w:b/>
          <w:sz w:val="20"/>
          <w:szCs w:val="20"/>
          <w:u w:val="single"/>
        </w:rPr>
        <w:t>.</w:t>
      </w:r>
      <w:r w:rsidR="00844A64" w:rsidRPr="00BC04B2">
        <w:rPr>
          <w:rFonts w:ascii="Arial" w:hAnsi="Arial" w:cs="Arial"/>
          <w:bCs/>
          <w:sz w:val="20"/>
          <w:szCs w:val="20"/>
        </w:rPr>
        <w:t xml:space="preserve"> </w:t>
      </w:r>
      <w:r w:rsidR="00F82A73" w:rsidRPr="00BC04B2">
        <w:rPr>
          <w:rFonts w:ascii="Arial" w:hAnsi="Arial" w:cs="Arial"/>
          <w:bCs/>
          <w:sz w:val="20"/>
          <w:szCs w:val="20"/>
        </w:rPr>
        <w:t xml:space="preserve">Association between type 2 diabetes (T2DM) remission and weight loss after bariatric surgery, stratified by </w:t>
      </w:r>
      <w:r w:rsidR="00844A64" w:rsidRPr="00BC04B2">
        <w:rPr>
          <w:rFonts w:ascii="Arial" w:hAnsi="Arial" w:cs="Arial"/>
          <w:bCs/>
          <w:sz w:val="20"/>
          <w:szCs w:val="20"/>
        </w:rPr>
        <w:t>surgery type</w:t>
      </w:r>
      <w:r>
        <w:rPr>
          <w:rFonts w:ascii="Arial" w:hAnsi="Arial" w:cs="Arial"/>
          <w:bCs/>
          <w:sz w:val="20"/>
          <w:szCs w:val="20"/>
        </w:rPr>
        <w:t>.</w:t>
      </w:r>
    </w:p>
    <w:p w14:paraId="3556B11B" w14:textId="4110C6E3" w:rsidR="006674FF" w:rsidRPr="00A6296D" w:rsidRDefault="00802BB6" w:rsidP="00C50A48">
      <w:pPr>
        <w:rPr>
          <w:rFonts w:ascii="Arial" w:hAnsi="Arial" w:cs="Arial"/>
          <w:sz w:val="20"/>
          <w:szCs w:val="20"/>
        </w:rPr>
      </w:pPr>
      <w:r>
        <w:rPr>
          <w:noProof/>
        </w:rPr>
        <w:drawing>
          <wp:inline distT="0" distB="0" distL="0" distR="0" wp14:anchorId="2C32DEDB" wp14:editId="58E3A1C0">
            <wp:extent cx="6675120" cy="3025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5120" cy="3025140"/>
                    </a:xfrm>
                    <a:prstGeom prst="rect">
                      <a:avLst/>
                    </a:prstGeom>
                    <a:noFill/>
                    <a:ln>
                      <a:noFill/>
                    </a:ln>
                  </pic:spPr>
                </pic:pic>
              </a:graphicData>
            </a:graphic>
          </wp:inline>
        </w:drawing>
      </w:r>
      <w:r w:rsidR="006674FF">
        <w:rPr>
          <w:rFonts w:ascii="Arial" w:eastAsia="Times New Roman" w:hAnsi="Arial" w:cs="Arial"/>
          <w:color w:val="000000"/>
          <w:sz w:val="16"/>
          <w:szCs w:val="16"/>
        </w:rPr>
        <w:t>Cox proportional hazard model r</w:t>
      </w:r>
      <w:r w:rsidR="006674FF" w:rsidRPr="00AB7659">
        <w:rPr>
          <w:rFonts w:ascii="Arial" w:eastAsia="Times New Roman" w:hAnsi="Arial" w:cs="Arial"/>
          <w:color w:val="000000"/>
          <w:sz w:val="16"/>
          <w:szCs w:val="16"/>
        </w:rPr>
        <w:t xml:space="preserve">esults for </w:t>
      </w:r>
      <w:r w:rsidR="006674FF">
        <w:rPr>
          <w:rFonts w:ascii="Arial" w:eastAsia="Times New Roman" w:hAnsi="Arial" w:cs="Arial"/>
          <w:color w:val="000000"/>
          <w:sz w:val="16"/>
          <w:szCs w:val="16"/>
        </w:rPr>
        <w:t xml:space="preserve">T2DM remission </w:t>
      </w:r>
      <w:r w:rsidR="006674FF" w:rsidRPr="00AB7659">
        <w:rPr>
          <w:rFonts w:ascii="Arial" w:eastAsia="Times New Roman" w:hAnsi="Arial" w:cs="Arial"/>
          <w:color w:val="000000"/>
          <w:sz w:val="16"/>
          <w:szCs w:val="16"/>
        </w:rPr>
        <w:t xml:space="preserve">as related to </w:t>
      </w:r>
      <w:r w:rsidR="006674FF">
        <w:rPr>
          <w:rFonts w:ascii="Arial" w:eastAsia="Times New Roman" w:hAnsi="Arial" w:cs="Arial"/>
          <w:color w:val="000000"/>
          <w:sz w:val="16"/>
          <w:szCs w:val="16"/>
        </w:rPr>
        <w:t xml:space="preserve">percent of weight lost from surgery date until date of remission or censoring, as compared to patients who lost 0-5% of their surgery </w:t>
      </w:r>
      <w:r w:rsidR="006674FF" w:rsidRPr="009700C7">
        <w:rPr>
          <w:rFonts w:ascii="Arial" w:eastAsia="Times New Roman" w:hAnsi="Arial" w:cs="Arial"/>
          <w:color w:val="000000"/>
          <w:sz w:val="16"/>
          <w:szCs w:val="16"/>
        </w:rPr>
        <w:t>weight.</w:t>
      </w:r>
      <w:r w:rsidR="006674FF">
        <w:rPr>
          <w:rFonts w:ascii="Arial" w:eastAsia="Times New Roman" w:hAnsi="Arial" w:cs="Arial"/>
          <w:color w:val="000000"/>
          <w:sz w:val="16"/>
          <w:szCs w:val="16"/>
        </w:rPr>
        <w:t xml:space="preserve"> %TWL was modeled as a time-varying covariate, interacted with surgery type (RYGB vs SG).</w:t>
      </w:r>
      <w:r w:rsidR="006674FF" w:rsidRPr="009700C7">
        <w:rPr>
          <w:rFonts w:ascii="Arial" w:eastAsia="Times New Roman" w:hAnsi="Arial" w:cs="Arial"/>
          <w:color w:val="000000"/>
          <w:sz w:val="16"/>
          <w:szCs w:val="16"/>
        </w:rPr>
        <w:t xml:space="preserve"> Sample is ENGAGE recipients of bariatric surgery who</w:t>
      </w:r>
      <w:r w:rsidR="006674FF">
        <w:rPr>
          <w:rFonts w:ascii="Arial" w:eastAsia="Times New Roman" w:hAnsi="Arial" w:cs="Arial"/>
          <w:color w:val="000000"/>
          <w:sz w:val="16"/>
          <w:szCs w:val="16"/>
        </w:rPr>
        <w:t xml:space="preserve"> had T2DM at time of surgery and subsequently had their weight measured, had their weight measured at time of T2DM remission (if they remitted), and were not outliers (weight gain of &gt;0% or weight loss of &gt;50%)</w:t>
      </w:r>
      <w:r w:rsidR="006674FF" w:rsidRPr="009700C7">
        <w:rPr>
          <w:rFonts w:ascii="Arial" w:eastAsia="Times New Roman" w:hAnsi="Arial" w:cs="Arial"/>
          <w:color w:val="000000"/>
          <w:sz w:val="16"/>
          <w:szCs w:val="16"/>
        </w:rPr>
        <w:t xml:space="preserve">. HR (hazard ratios) adjust for sex, race/ethnicity, age, age squared, HBA1C (quartiles), </w:t>
      </w:r>
      <w:proofErr w:type="spellStart"/>
      <w:r w:rsidR="006674FF">
        <w:rPr>
          <w:rFonts w:ascii="Arial" w:eastAsia="Times New Roman" w:hAnsi="Arial" w:cs="Arial"/>
          <w:color w:val="000000"/>
          <w:sz w:val="16"/>
          <w:szCs w:val="16"/>
        </w:rPr>
        <w:t>DiaRem</w:t>
      </w:r>
      <w:proofErr w:type="spellEnd"/>
      <w:r w:rsidR="006674FF" w:rsidRPr="009700C7">
        <w:rPr>
          <w:rFonts w:ascii="Arial" w:eastAsia="Times New Roman" w:hAnsi="Arial" w:cs="Arial"/>
          <w:color w:val="000000"/>
          <w:sz w:val="16"/>
          <w:szCs w:val="16"/>
        </w:rPr>
        <w:t xml:space="preserve"> score (quartiles), </w:t>
      </w:r>
      <w:proofErr w:type="spellStart"/>
      <w:r w:rsidR="006674FF" w:rsidRPr="009700C7">
        <w:rPr>
          <w:rFonts w:ascii="Arial" w:eastAsia="Times New Roman" w:hAnsi="Arial" w:cs="Arial"/>
          <w:color w:val="000000"/>
          <w:sz w:val="16"/>
          <w:szCs w:val="16"/>
        </w:rPr>
        <w:t>Elixhauser</w:t>
      </w:r>
      <w:proofErr w:type="spellEnd"/>
      <w:r w:rsidR="006674FF" w:rsidRPr="009700C7">
        <w:rPr>
          <w:rFonts w:ascii="Arial" w:eastAsia="Times New Roman" w:hAnsi="Arial" w:cs="Arial"/>
          <w:color w:val="000000"/>
          <w:sz w:val="16"/>
          <w:szCs w:val="16"/>
        </w:rPr>
        <w:t xml:space="preserve"> score (quartiles), BMI (quartiles), weight at surgery (quartiles), BMI</w:t>
      </w:r>
      <w:r w:rsidR="006674FF">
        <w:rPr>
          <w:rFonts w:ascii="Arial" w:eastAsia="Times New Roman" w:hAnsi="Arial" w:cs="Arial"/>
          <w:color w:val="000000"/>
          <w:sz w:val="16"/>
          <w:szCs w:val="16"/>
        </w:rPr>
        <w:t>≥</w:t>
      </w:r>
      <w:r w:rsidR="006674FF" w:rsidRPr="009700C7">
        <w:rPr>
          <w:rFonts w:ascii="Arial" w:eastAsia="Times New Roman" w:hAnsi="Arial" w:cs="Arial"/>
          <w:color w:val="000000"/>
          <w:sz w:val="16"/>
          <w:szCs w:val="16"/>
        </w:rPr>
        <w:t>50 at surgery indicator, indicators for drug use in year and 3 months prior to surgery (aspirin, NSAIDs), number of diabetes drugs at surgery (indicators for 0, 1, and 2), drug use at surgery (dyslipidemia drugs, insulin), inpatient visits in year pre-surgery above median, emergency department visits in year pre-surgery above median, pre-surgery appointment attendance rate above median, pre-surgery weight change above median, and prior diagnosis indicators (hypertension, cirrhosis, sleep apnea, chronic kidney disease, serious mental condition, severe anxiety, mild to moderate anxiety). Abbreviations: HR (hazard ratio), CI (confidence interval), BMI (body mass index)</w:t>
      </w:r>
      <w:r w:rsidR="006674FF">
        <w:rPr>
          <w:rFonts w:ascii="Arial" w:eastAsia="Times New Roman" w:hAnsi="Arial" w:cs="Arial"/>
          <w:color w:val="000000"/>
          <w:sz w:val="16"/>
          <w:szCs w:val="16"/>
        </w:rPr>
        <w:t>, TWL (total weight loss)</w:t>
      </w:r>
      <w:r w:rsidR="002C7BCD">
        <w:rPr>
          <w:rFonts w:ascii="Arial" w:eastAsia="Times New Roman" w:hAnsi="Arial" w:cs="Arial"/>
          <w:color w:val="000000"/>
          <w:sz w:val="16"/>
          <w:szCs w:val="16"/>
        </w:rPr>
        <w:t xml:space="preserve">, </w:t>
      </w:r>
      <w:r w:rsidR="002C7BCD" w:rsidRPr="00832888">
        <w:rPr>
          <w:rFonts w:ascii="Arial" w:eastAsia="Times New Roman" w:hAnsi="Arial" w:cs="Arial"/>
          <w:color w:val="000000"/>
          <w:sz w:val="16"/>
          <w:szCs w:val="16"/>
        </w:rPr>
        <w:t xml:space="preserve">T2DM (type 2 diabetes mellitus), RYGB (Roux-en-Y Gastric Bypass), </w:t>
      </w:r>
      <w:proofErr w:type="spellStart"/>
      <w:r w:rsidR="002C7BCD" w:rsidRPr="00832888">
        <w:rPr>
          <w:rFonts w:ascii="Arial" w:eastAsia="Times New Roman" w:hAnsi="Arial" w:cs="Arial"/>
          <w:color w:val="000000"/>
          <w:sz w:val="16"/>
          <w:szCs w:val="16"/>
        </w:rPr>
        <w:t>DiaRem</w:t>
      </w:r>
      <w:proofErr w:type="spellEnd"/>
      <w:r w:rsidR="002C7BCD" w:rsidRPr="00832888">
        <w:rPr>
          <w:rFonts w:ascii="Arial" w:eastAsia="Times New Roman" w:hAnsi="Arial" w:cs="Arial"/>
          <w:color w:val="000000"/>
          <w:sz w:val="16"/>
          <w:szCs w:val="16"/>
        </w:rPr>
        <w:t xml:space="preserve"> (Diabetes Remission Score), NSAIDS (non-steroidal anti-inflammatory drugs)</w:t>
      </w:r>
      <w:r w:rsidR="002C7BCD">
        <w:rPr>
          <w:rFonts w:ascii="Arial" w:eastAsia="Times New Roman" w:hAnsi="Arial" w:cs="Arial"/>
          <w:color w:val="000000"/>
          <w:sz w:val="16"/>
          <w:szCs w:val="16"/>
        </w:rPr>
        <w:t>, SG (gastric sleeve),</w:t>
      </w:r>
    </w:p>
    <w:p w14:paraId="1B1D8E08" w14:textId="0F8DC78E" w:rsidR="00050608" w:rsidRDefault="00050608" w:rsidP="00A6296D">
      <w:pPr>
        <w:pStyle w:val="NoSpacing"/>
        <w:rPr>
          <w:rFonts w:ascii="Arial" w:hAnsi="Arial" w:cs="Arial"/>
          <w:bCs/>
          <w:sz w:val="20"/>
          <w:szCs w:val="20"/>
        </w:rPr>
      </w:pPr>
      <w:r>
        <w:rPr>
          <w:rFonts w:ascii="Arial" w:hAnsi="Arial" w:cs="Arial"/>
          <w:b/>
          <w:sz w:val="20"/>
          <w:szCs w:val="20"/>
          <w:u w:val="single"/>
        </w:rPr>
        <w:t>Figure S</w:t>
      </w:r>
      <w:r w:rsidR="00802FFD">
        <w:rPr>
          <w:rFonts w:ascii="Arial" w:hAnsi="Arial" w:cs="Arial"/>
          <w:b/>
          <w:sz w:val="20"/>
          <w:szCs w:val="20"/>
          <w:u w:val="single"/>
        </w:rPr>
        <w:t>6</w:t>
      </w:r>
      <w:r>
        <w:rPr>
          <w:rFonts w:ascii="Arial" w:hAnsi="Arial" w:cs="Arial"/>
          <w:b/>
          <w:sz w:val="20"/>
          <w:szCs w:val="20"/>
          <w:u w:val="single"/>
        </w:rPr>
        <w:t>.</w:t>
      </w:r>
      <w:r w:rsidRPr="00BC04B2">
        <w:rPr>
          <w:rFonts w:ascii="Arial" w:hAnsi="Arial" w:cs="Arial"/>
          <w:bCs/>
          <w:sz w:val="20"/>
          <w:szCs w:val="20"/>
        </w:rPr>
        <w:t xml:space="preserve"> Association between type 2 diabetes (T2DM) remission and weight loss after bariatric surgery, </w:t>
      </w:r>
      <w:r>
        <w:rPr>
          <w:rFonts w:ascii="Arial" w:hAnsi="Arial" w:cs="Arial"/>
          <w:bCs/>
          <w:sz w:val="20"/>
          <w:szCs w:val="20"/>
        </w:rPr>
        <w:t>with alternative weight loss categories</w:t>
      </w:r>
      <w:r w:rsidR="0026405B">
        <w:rPr>
          <w:rFonts w:ascii="Arial" w:hAnsi="Arial" w:cs="Arial"/>
          <w:bCs/>
          <w:sz w:val="20"/>
          <w:szCs w:val="20"/>
        </w:rPr>
        <w:t>.</w:t>
      </w:r>
    </w:p>
    <w:p w14:paraId="55F4131B" w14:textId="77777777" w:rsidR="0026405B" w:rsidRDefault="0026405B" w:rsidP="00A6296D">
      <w:pPr>
        <w:pStyle w:val="NoSpacing"/>
        <w:rPr>
          <w:rFonts w:ascii="Arial" w:hAnsi="Arial" w:cs="Arial"/>
          <w:sz w:val="20"/>
          <w:szCs w:val="20"/>
        </w:rPr>
      </w:pPr>
    </w:p>
    <w:p w14:paraId="71C015E7" w14:textId="37FB884F" w:rsidR="00050608" w:rsidRPr="00A6296D" w:rsidRDefault="00050608" w:rsidP="00050608">
      <w:pPr>
        <w:pStyle w:val="NoSpacing"/>
        <w:jc w:val="both"/>
        <w:rPr>
          <w:rFonts w:ascii="Arial" w:hAnsi="Arial" w:cs="Arial"/>
          <w:sz w:val="20"/>
          <w:szCs w:val="20"/>
        </w:rPr>
      </w:pPr>
      <w:r>
        <w:rPr>
          <w:noProof/>
        </w:rPr>
        <w:drawing>
          <wp:inline distT="0" distB="0" distL="0" distR="0" wp14:anchorId="6C0D065C" wp14:editId="23DCE364">
            <wp:extent cx="6675120" cy="14992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5120" cy="1499235"/>
                    </a:xfrm>
                    <a:prstGeom prst="rect">
                      <a:avLst/>
                    </a:prstGeom>
                    <a:noFill/>
                    <a:ln>
                      <a:noFill/>
                    </a:ln>
                  </pic:spPr>
                </pic:pic>
              </a:graphicData>
            </a:graphic>
          </wp:inline>
        </w:drawing>
      </w:r>
      <w:r w:rsidRPr="00050608">
        <w:rPr>
          <w:rFonts w:ascii="Arial" w:eastAsia="Times New Roman" w:hAnsi="Arial" w:cs="Arial"/>
          <w:color w:val="000000"/>
          <w:sz w:val="16"/>
          <w:szCs w:val="16"/>
        </w:rPr>
        <w:t xml:space="preserve"> </w:t>
      </w:r>
    </w:p>
    <w:p w14:paraId="79AAFBC3" w14:textId="1C2F5980" w:rsidR="000E3320" w:rsidRPr="00A6296D" w:rsidRDefault="000E3320" w:rsidP="00802FFD">
      <w:pPr>
        <w:pStyle w:val="NoSpacing"/>
        <w:rPr>
          <w:rFonts w:ascii="Arial" w:hAnsi="Arial" w:cs="Arial"/>
          <w:sz w:val="20"/>
          <w:szCs w:val="20"/>
        </w:rPr>
      </w:pPr>
      <w:r>
        <w:rPr>
          <w:rFonts w:ascii="Arial" w:eastAsia="Times New Roman" w:hAnsi="Arial" w:cs="Arial"/>
          <w:color w:val="000000"/>
          <w:sz w:val="16"/>
          <w:szCs w:val="16"/>
        </w:rPr>
        <w:t>Cox proportional hazard model r</w:t>
      </w:r>
      <w:r w:rsidRPr="00AB7659">
        <w:rPr>
          <w:rFonts w:ascii="Arial" w:eastAsia="Times New Roman" w:hAnsi="Arial" w:cs="Arial"/>
          <w:color w:val="000000"/>
          <w:sz w:val="16"/>
          <w:szCs w:val="16"/>
        </w:rPr>
        <w:t xml:space="preserve">esults for </w:t>
      </w:r>
      <w:r>
        <w:rPr>
          <w:rFonts w:ascii="Arial" w:eastAsia="Times New Roman" w:hAnsi="Arial" w:cs="Arial"/>
          <w:color w:val="000000"/>
          <w:sz w:val="16"/>
          <w:szCs w:val="16"/>
        </w:rPr>
        <w:t xml:space="preserve">T2DM remission </w:t>
      </w:r>
      <w:r w:rsidRPr="00AB7659">
        <w:rPr>
          <w:rFonts w:ascii="Arial" w:eastAsia="Times New Roman" w:hAnsi="Arial" w:cs="Arial"/>
          <w:color w:val="000000"/>
          <w:sz w:val="16"/>
          <w:szCs w:val="16"/>
        </w:rPr>
        <w:t xml:space="preserve">as related to </w:t>
      </w:r>
      <w:r>
        <w:rPr>
          <w:rFonts w:ascii="Arial" w:eastAsia="Times New Roman" w:hAnsi="Arial" w:cs="Arial"/>
          <w:color w:val="000000"/>
          <w:sz w:val="16"/>
          <w:szCs w:val="16"/>
        </w:rPr>
        <w:t xml:space="preserve">percent of weight lost from surgery date until date of remission or censoring, as compared to patients who lost 0-10% of their surgery </w:t>
      </w:r>
      <w:r w:rsidRPr="009700C7">
        <w:rPr>
          <w:rFonts w:ascii="Arial" w:eastAsia="Times New Roman" w:hAnsi="Arial" w:cs="Arial"/>
          <w:color w:val="000000"/>
          <w:sz w:val="16"/>
          <w:szCs w:val="16"/>
        </w:rPr>
        <w:t>weight.</w:t>
      </w:r>
      <w:r>
        <w:rPr>
          <w:rFonts w:ascii="Arial" w:eastAsia="Times New Roman" w:hAnsi="Arial" w:cs="Arial"/>
          <w:color w:val="000000"/>
          <w:sz w:val="16"/>
          <w:szCs w:val="16"/>
        </w:rPr>
        <w:t xml:space="preserve"> %TWL was modeled as a time-varying covariate.</w:t>
      </w:r>
      <w:r w:rsidRPr="009700C7">
        <w:rPr>
          <w:rFonts w:ascii="Arial" w:eastAsia="Times New Roman" w:hAnsi="Arial" w:cs="Arial"/>
          <w:color w:val="000000"/>
          <w:sz w:val="16"/>
          <w:szCs w:val="16"/>
        </w:rPr>
        <w:t xml:space="preserve"> Sample is ENGAGE recipients of bariatric surgery who</w:t>
      </w:r>
      <w:r>
        <w:rPr>
          <w:rFonts w:ascii="Arial" w:eastAsia="Times New Roman" w:hAnsi="Arial" w:cs="Arial"/>
          <w:color w:val="000000"/>
          <w:sz w:val="16"/>
          <w:szCs w:val="16"/>
        </w:rPr>
        <w:t xml:space="preserve"> had T2DM at time of surgery and subsequently had their weight measured, had their weight measured at time of T2DM remission (if they remitted), and were not outliers (weight gain of &gt;0% or weight loss of &gt;50%)</w:t>
      </w:r>
      <w:r w:rsidRPr="009700C7">
        <w:rPr>
          <w:rFonts w:ascii="Arial" w:eastAsia="Times New Roman" w:hAnsi="Arial" w:cs="Arial"/>
          <w:color w:val="000000"/>
          <w:sz w:val="16"/>
          <w:szCs w:val="16"/>
        </w:rPr>
        <w:t xml:space="preserve">. HR (hazard ratios) adjust for surgery type, sex, race/ethnicity, age, age squared, HBA1C (quartiles), </w:t>
      </w:r>
      <w:proofErr w:type="spellStart"/>
      <w:r>
        <w:rPr>
          <w:rFonts w:ascii="Arial" w:eastAsia="Times New Roman" w:hAnsi="Arial" w:cs="Arial"/>
          <w:color w:val="000000"/>
          <w:sz w:val="16"/>
          <w:szCs w:val="16"/>
        </w:rPr>
        <w:t>DiaRem</w:t>
      </w:r>
      <w:proofErr w:type="spellEnd"/>
      <w:r w:rsidRPr="009700C7">
        <w:rPr>
          <w:rFonts w:ascii="Arial" w:eastAsia="Times New Roman" w:hAnsi="Arial" w:cs="Arial"/>
          <w:color w:val="000000"/>
          <w:sz w:val="16"/>
          <w:szCs w:val="16"/>
        </w:rPr>
        <w:t xml:space="preserve"> score (quartiles), </w:t>
      </w:r>
      <w:proofErr w:type="spellStart"/>
      <w:r w:rsidRPr="009700C7">
        <w:rPr>
          <w:rFonts w:ascii="Arial" w:eastAsia="Times New Roman" w:hAnsi="Arial" w:cs="Arial"/>
          <w:color w:val="000000"/>
          <w:sz w:val="16"/>
          <w:szCs w:val="16"/>
        </w:rPr>
        <w:t>Elixhauser</w:t>
      </w:r>
      <w:proofErr w:type="spellEnd"/>
      <w:r w:rsidRPr="009700C7">
        <w:rPr>
          <w:rFonts w:ascii="Arial" w:eastAsia="Times New Roman" w:hAnsi="Arial" w:cs="Arial"/>
          <w:color w:val="000000"/>
          <w:sz w:val="16"/>
          <w:szCs w:val="16"/>
        </w:rPr>
        <w:t xml:space="preserve"> score (quartiles), BMI (quartiles), weight at surgery (quartiles), BMI</w:t>
      </w:r>
      <w:r>
        <w:rPr>
          <w:rFonts w:ascii="Arial" w:eastAsia="Times New Roman" w:hAnsi="Arial" w:cs="Arial"/>
          <w:color w:val="000000"/>
          <w:sz w:val="16"/>
          <w:szCs w:val="16"/>
        </w:rPr>
        <w:t>≥</w:t>
      </w:r>
      <w:r w:rsidRPr="009700C7">
        <w:rPr>
          <w:rFonts w:ascii="Arial" w:eastAsia="Times New Roman" w:hAnsi="Arial" w:cs="Arial"/>
          <w:color w:val="000000"/>
          <w:sz w:val="16"/>
          <w:szCs w:val="16"/>
        </w:rPr>
        <w:t>50 at surgery indicator, indicators for drug use in year and 3 months prior to surgery (aspirin, NSAIDs), number of diabetes drugs at surgery (indicators for 0, 1, and 2), drug use at surgery (dyslipidemia drugs, insulin), inpatient visits in year pre-surgery above median, emergency department visits in year pre-surgery above median, pre-surgery appointment attendance rate above median, pre-surgery weight change above median, and prior diagnosis indicators (hypertension, cirrhosis, sleep apnea, chronic kidney disease, serious mental condition, severe anxiety, mild to moderate anxiety). Abbreviations: HR (hazard ratio), CI (confidence interval), BMI (body mass index)</w:t>
      </w:r>
      <w:r>
        <w:rPr>
          <w:rFonts w:ascii="Arial" w:eastAsia="Times New Roman" w:hAnsi="Arial" w:cs="Arial"/>
          <w:color w:val="000000"/>
          <w:sz w:val="16"/>
          <w:szCs w:val="16"/>
        </w:rPr>
        <w:t xml:space="preserve">, TWL (total weight loss), </w:t>
      </w:r>
      <w:r w:rsidRPr="00832888">
        <w:rPr>
          <w:rFonts w:ascii="Arial" w:eastAsia="Times New Roman" w:hAnsi="Arial" w:cs="Arial"/>
          <w:color w:val="000000"/>
          <w:sz w:val="16"/>
          <w:szCs w:val="16"/>
        </w:rPr>
        <w:t xml:space="preserve">T2DM (type 2 diabetes mellitus), RYGB (Roux-en-Y Gastric Bypass), </w:t>
      </w:r>
      <w:proofErr w:type="spellStart"/>
      <w:r w:rsidRPr="00832888">
        <w:rPr>
          <w:rFonts w:ascii="Arial" w:eastAsia="Times New Roman" w:hAnsi="Arial" w:cs="Arial"/>
          <w:color w:val="000000"/>
          <w:sz w:val="16"/>
          <w:szCs w:val="16"/>
        </w:rPr>
        <w:t>DiaRem</w:t>
      </w:r>
      <w:proofErr w:type="spellEnd"/>
      <w:r w:rsidRPr="00832888">
        <w:rPr>
          <w:rFonts w:ascii="Arial" w:eastAsia="Times New Roman" w:hAnsi="Arial" w:cs="Arial"/>
          <w:color w:val="000000"/>
          <w:sz w:val="16"/>
          <w:szCs w:val="16"/>
        </w:rPr>
        <w:t xml:space="preserve"> (Diabetes Remission Score), NSAIDS (non-steroidal anti-inflammatory drugs)</w:t>
      </w:r>
      <w:r>
        <w:rPr>
          <w:rFonts w:ascii="Arial" w:eastAsia="Times New Roman" w:hAnsi="Arial" w:cs="Arial"/>
          <w:color w:val="000000"/>
          <w:sz w:val="16"/>
          <w:szCs w:val="16"/>
        </w:rPr>
        <w:t>.</w:t>
      </w:r>
    </w:p>
    <w:p w14:paraId="7FB789B9" w14:textId="71154483" w:rsidR="00050608" w:rsidRDefault="00050608">
      <w:pPr>
        <w:pStyle w:val="NoSpacing"/>
        <w:rPr>
          <w:rFonts w:ascii="Arial" w:hAnsi="Arial" w:cs="Arial"/>
          <w:sz w:val="20"/>
          <w:szCs w:val="20"/>
        </w:rPr>
      </w:pPr>
    </w:p>
    <w:p w14:paraId="09D32B76" w14:textId="77777777" w:rsidR="00C50A48" w:rsidRDefault="00C50A48" w:rsidP="000E3320">
      <w:pPr>
        <w:pStyle w:val="NoSpacing"/>
        <w:rPr>
          <w:rFonts w:ascii="Arial" w:hAnsi="Arial" w:cs="Arial"/>
          <w:b/>
          <w:sz w:val="20"/>
          <w:szCs w:val="20"/>
          <w:u w:val="single"/>
        </w:rPr>
      </w:pPr>
    </w:p>
    <w:p w14:paraId="29CB43B0" w14:textId="77777777" w:rsidR="00C50A48" w:rsidRDefault="00C50A48" w:rsidP="000E3320">
      <w:pPr>
        <w:pStyle w:val="NoSpacing"/>
        <w:rPr>
          <w:rFonts w:ascii="Arial" w:hAnsi="Arial" w:cs="Arial"/>
          <w:b/>
          <w:sz w:val="20"/>
          <w:szCs w:val="20"/>
          <w:u w:val="single"/>
        </w:rPr>
      </w:pPr>
    </w:p>
    <w:p w14:paraId="2434CA6A" w14:textId="77777777" w:rsidR="00C50A48" w:rsidRDefault="00C50A48" w:rsidP="000E3320">
      <w:pPr>
        <w:pStyle w:val="NoSpacing"/>
        <w:rPr>
          <w:rFonts w:ascii="Arial" w:hAnsi="Arial" w:cs="Arial"/>
          <w:b/>
          <w:sz w:val="20"/>
          <w:szCs w:val="20"/>
          <w:u w:val="single"/>
        </w:rPr>
      </w:pPr>
    </w:p>
    <w:p w14:paraId="659D394E" w14:textId="4D2D56C5" w:rsidR="000E3320" w:rsidRDefault="000E3320" w:rsidP="000E3320">
      <w:pPr>
        <w:pStyle w:val="NoSpacing"/>
        <w:rPr>
          <w:rFonts w:ascii="Arial" w:hAnsi="Arial" w:cs="Arial"/>
          <w:bCs/>
          <w:sz w:val="20"/>
          <w:szCs w:val="20"/>
        </w:rPr>
      </w:pPr>
      <w:r>
        <w:rPr>
          <w:rFonts w:ascii="Arial" w:hAnsi="Arial" w:cs="Arial"/>
          <w:b/>
          <w:sz w:val="20"/>
          <w:szCs w:val="20"/>
          <w:u w:val="single"/>
        </w:rPr>
        <w:t>Figure S</w:t>
      </w:r>
      <w:r w:rsidR="00802FFD">
        <w:rPr>
          <w:rFonts w:ascii="Arial" w:hAnsi="Arial" w:cs="Arial"/>
          <w:b/>
          <w:sz w:val="20"/>
          <w:szCs w:val="20"/>
          <w:u w:val="single"/>
        </w:rPr>
        <w:t>7</w:t>
      </w:r>
      <w:r>
        <w:rPr>
          <w:rFonts w:ascii="Arial" w:hAnsi="Arial" w:cs="Arial"/>
          <w:b/>
          <w:sz w:val="20"/>
          <w:szCs w:val="20"/>
          <w:u w:val="single"/>
        </w:rPr>
        <w:t>.</w:t>
      </w:r>
      <w:r w:rsidRPr="00BC04B2">
        <w:rPr>
          <w:rFonts w:ascii="Arial" w:hAnsi="Arial" w:cs="Arial"/>
          <w:bCs/>
          <w:sz w:val="20"/>
          <w:szCs w:val="20"/>
        </w:rPr>
        <w:t xml:space="preserve"> Association between type 2 diabetes (T2DM) remission and weight loss after bariatric surgery, </w:t>
      </w:r>
      <w:r>
        <w:rPr>
          <w:rFonts w:ascii="Arial" w:hAnsi="Arial" w:cs="Arial"/>
          <w:bCs/>
          <w:sz w:val="20"/>
          <w:szCs w:val="20"/>
        </w:rPr>
        <w:t>in a model without covariate adjustment</w:t>
      </w:r>
      <w:r w:rsidR="0026405B">
        <w:rPr>
          <w:rFonts w:ascii="Arial" w:hAnsi="Arial" w:cs="Arial"/>
          <w:bCs/>
          <w:sz w:val="20"/>
          <w:szCs w:val="20"/>
        </w:rPr>
        <w:t>.</w:t>
      </w:r>
    </w:p>
    <w:p w14:paraId="6777E911" w14:textId="77777777" w:rsidR="0026405B" w:rsidRDefault="0026405B" w:rsidP="000E3320">
      <w:pPr>
        <w:pStyle w:val="NoSpacing"/>
        <w:rPr>
          <w:rFonts w:ascii="Arial" w:hAnsi="Arial" w:cs="Arial"/>
          <w:bCs/>
          <w:sz w:val="20"/>
          <w:szCs w:val="20"/>
        </w:rPr>
      </w:pPr>
    </w:p>
    <w:p w14:paraId="7CE94A1A" w14:textId="48C720C5" w:rsidR="000E3320" w:rsidRDefault="000E3320" w:rsidP="000E3320">
      <w:pPr>
        <w:pStyle w:val="NoSpacing"/>
        <w:rPr>
          <w:rFonts w:ascii="Arial" w:hAnsi="Arial" w:cs="Arial"/>
          <w:bCs/>
          <w:sz w:val="20"/>
          <w:szCs w:val="20"/>
        </w:rPr>
      </w:pPr>
      <w:r>
        <w:rPr>
          <w:noProof/>
        </w:rPr>
        <w:drawing>
          <wp:inline distT="0" distB="0" distL="0" distR="0" wp14:anchorId="05383106" wp14:editId="77BBB83A">
            <wp:extent cx="6675120" cy="1735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5120" cy="1735455"/>
                    </a:xfrm>
                    <a:prstGeom prst="rect">
                      <a:avLst/>
                    </a:prstGeom>
                    <a:noFill/>
                    <a:ln>
                      <a:noFill/>
                    </a:ln>
                  </pic:spPr>
                </pic:pic>
              </a:graphicData>
            </a:graphic>
          </wp:inline>
        </w:drawing>
      </w:r>
    </w:p>
    <w:p w14:paraId="3178BF2E" w14:textId="57B93499" w:rsidR="000E3320" w:rsidRPr="00A6296D" w:rsidRDefault="000E3320" w:rsidP="000E3320">
      <w:pPr>
        <w:pStyle w:val="NoSpacing"/>
        <w:rPr>
          <w:rFonts w:ascii="Arial" w:hAnsi="Arial" w:cs="Arial"/>
          <w:sz w:val="20"/>
          <w:szCs w:val="20"/>
        </w:rPr>
      </w:pPr>
      <w:r>
        <w:rPr>
          <w:rFonts w:ascii="Arial" w:eastAsia="Times New Roman" w:hAnsi="Arial" w:cs="Arial"/>
          <w:color w:val="000000"/>
          <w:sz w:val="16"/>
          <w:szCs w:val="16"/>
        </w:rPr>
        <w:t>Cox proportional hazard model r</w:t>
      </w:r>
      <w:r w:rsidRPr="00AB7659">
        <w:rPr>
          <w:rFonts w:ascii="Arial" w:eastAsia="Times New Roman" w:hAnsi="Arial" w:cs="Arial"/>
          <w:color w:val="000000"/>
          <w:sz w:val="16"/>
          <w:szCs w:val="16"/>
        </w:rPr>
        <w:t xml:space="preserve">esults for </w:t>
      </w:r>
      <w:r>
        <w:rPr>
          <w:rFonts w:ascii="Arial" w:eastAsia="Times New Roman" w:hAnsi="Arial" w:cs="Arial"/>
          <w:color w:val="000000"/>
          <w:sz w:val="16"/>
          <w:szCs w:val="16"/>
        </w:rPr>
        <w:t xml:space="preserve">T2DM remission </w:t>
      </w:r>
      <w:r w:rsidRPr="00AB7659">
        <w:rPr>
          <w:rFonts w:ascii="Arial" w:eastAsia="Times New Roman" w:hAnsi="Arial" w:cs="Arial"/>
          <w:color w:val="000000"/>
          <w:sz w:val="16"/>
          <w:szCs w:val="16"/>
        </w:rPr>
        <w:t xml:space="preserve">as related to </w:t>
      </w:r>
      <w:r>
        <w:rPr>
          <w:rFonts w:ascii="Arial" w:eastAsia="Times New Roman" w:hAnsi="Arial" w:cs="Arial"/>
          <w:color w:val="000000"/>
          <w:sz w:val="16"/>
          <w:szCs w:val="16"/>
        </w:rPr>
        <w:t xml:space="preserve">percent of weight lost from surgery date until date of remission or censoring, as compared to patients who lost 0-5% of their surgery </w:t>
      </w:r>
      <w:r w:rsidRPr="009700C7">
        <w:rPr>
          <w:rFonts w:ascii="Arial" w:eastAsia="Times New Roman" w:hAnsi="Arial" w:cs="Arial"/>
          <w:color w:val="000000"/>
          <w:sz w:val="16"/>
          <w:szCs w:val="16"/>
        </w:rPr>
        <w:t>weight.</w:t>
      </w:r>
      <w:r>
        <w:rPr>
          <w:rFonts w:ascii="Arial" w:eastAsia="Times New Roman" w:hAnsi="Arial" w:cs="Arial"/>
          <w:color w:val="000000"/>
          <w:sz w:val="16"/>
          <w:szCs w:val="16"/>
        </w:rPr>
        <w:t xml:space="preserve"> %TWL was modeled as a time-varying covariate.</w:t>
      </w:r>
      <w:r w:rsidRPr="009700C7">
        <w:rPr>
          <w:rFonts w:ascii="Arial" w:eastAsia="Times New Roman" w:hAnsi="Arial" w:cs="Arial"/>
          <w:color w:val="000000"/>
          <w:sz w:val="16"/>
          <w:szCs w:val="16"/>
        </w:rPr>
        <w:t xml:space="preserve"> Sample is ENGAGE recipients of bariatric surgery who</w:t>
      </w:r>
      <w:r>
        <w:rPr>
          <w:rFonts w:ascii="Arial" w:eastAsia="Times New Roman" w:hAnsi="Arial" w:cs="Arial"/>
          <w:color w:val="000000"/>
          <w:sz w:val="16"/>
          <w:szCs w:val="16"/>
        </w:rPr>
        <w:t xml:space="preserve"> had T2DM at time of surgery and subsequently had their weight measured, had their weight measured at time of T2DM remission (if they remitted), and were not outliers (weight gain of &gt;0% or weight loss of &gt;50%)</w:t>
      </w:r>
      <w:r w:rsidRPr="009700C7">
        <w:rPr>
          <w:rFonts w:ascii="Arial" w:eastAsia="Times New Roman" w:hAnsi="Arial" w:cs="Arial"/>
          <w:color w:val="000000"/>
          <w:sz w:val="16"/>
          <w:szCs w:val="16"/>
        </w:rPr>
        <w:t>. Abbreviations: HR (hazard ratio), CI (confidence interval)</w:t>
      </w:r>
      <w:r>
        <w:rPr>
          <w:rFonts w:ascii="Arial" w:eastAsia="Times New Roman" w:hAnsi="Arial" w:cs="Arial"/>
          <w:color w:val="000000"/>
          <w:sz w:val="16"/>
          <w:szCs w:val="16"/>
        </w:rPr>
        <w:t>.</w:t>
      </w:r>
    </w:p>
    <w:p w14:paraId="430E9511" w14:textId="77777777" w:rsidR="000E3320" w:rsidRDefault="000E3320" w:rsidP="000E3320">
      <w:pPr>
        <w:pStyle w:val="NoSpacing"/>
        <w:rPr>
          <w:rFonts w:ascii="Arial" w:hAnsi="Arial" w:cs="Arial"/>
          <w:b/>
          <w:sz w:val="20"/>
          <w:szCs w:val="20"/>
          <w:u w:val="single"/>
        </w:rPr>
      </w:pPr>
    </w:p>
    <w:p w14:paraId="5D19BDBD" w14:textId="1575F722" w:rsidR="000E3320" w:rsidRDefault="000E3320" w:rsidP="000E3320">
      <w:pPr>
        <w:pStyle w:val="NoSpacing"/>
        <w:rPr>
          <w:rFonts w:ascii="Arial" w:hAnsi="Arial" w:cs="Arial"/>
          <w:bCs/>
          <w:sz w:val="20"/>
          <w:szCs w:val="20"/>
        </w:rPr>
      </w:pPr>
      <w:r>
        <w:rPr>
          <w:rFonts w:ascii="Arial" w:hAnsi="Arial" w:cs="Arial"/>
          <w:b/>
          <w:sz w:val="20"/>
          <w:szCs w:val="20"/>
          <w:u w:val="single"/>
        </w:rPr>
        <w:t>Figure S</w:t>
      </w:r>
      <w:r w:rsidR="00802FFD">
        <w:rPr>
          <w:rFonts w:ascii="Arial" w:hAnsi="Arial" w:cs="Arial"/>
          <w:b/>
          <w:sz w:val="20"/>
          <w:szCs w:val="20"/>
          <w:u w:val="single"/>
        </w:rPr>
        <w:t>8</w:t>
      </w:r>
      <w:r>
        <w:rPr>
          <w:rFonts w:ascii="Arial" w:hAnsi="Arial" w:cs="Arial"/>
          <w:b/>
          <w:sz w:val="20"/>
          <w:szCs w:val="20"/>
          <w:u w:val="single"/>
        </w:rPr>
        <w:t>.</w:t>
      </w:r>
      <w:r w:rsidRPr="00BC04B2">
        <w:rPr>
          <w:rFonts w:ascii="Arial" w:hAnsi="Arial" w:cs="Arial"/>
          <w:bCs/>
          <w:sz w:val="20"/>
          <w:szCs w:val="20"/>
        </w:rPr>
        <w:t xml:space="preserve"> Association between type 2 diabetes (T2DM) remission and weight loss after bariatric surgery, </w:t>
      </w:r>
      <w:r>
        <w:rPr>
          <w:rFonts w:ascii="Arial" w:hAnsi="Arial" w:cs="Arial"/>
          <w:bCs/>
          <w:sz w:val="20"/>
          <w:szCs w:val="20"/>
        </w:rPr>
        <w:t>in a model with parsimonious covariate adjustment</w:t>
      </w:r>
      <w:r w:rsidR="0026405B">
        <w:rPr>
          <w:rFonts w:ascii="Arial" w:hAnsi="Arial" w:cs="Arial"/>
          <w:bCs/>
          <w:sz w:val="20"/>
          <w:szCs w:val="20"/>
        </w:rPr>
        <w:t>.</w:t>
      </w:r>
    </w:p>
    <w:p w14:paraId="1CACC1F6" w14:textId="00609D0F" w:rsidR="0026405B" w:rsidRDefault="0026405B" w:rsidP="000E3320">
      <w:pPr>
        <w:pStyle w:val="NoSpacing"/>
        <w:rPr>
          <w:rFonts w:ascii="Arial" w:hAnsi="Arial" w:cs="Arial"/>
          <w:bCs/>
          <w:sz w:val="20"/>
          <w:szCs w:val="20"/>
        </w:rPr>
      </w:pPr>
    </w:p>
    <w:p w14:paraId="3053988D" w14:textId="79360DA4" w:rsidR="000E3320" w:rsidRDefault="000E3320" w:rsidP="000E3320">
      <w:pPr>
        <w:pStyle w:val="NoSpacing"/>
        <w:rPr>
          <w:rFonts w:ascii="Arial" w:hAnsi="Arial" w:cs="Arial"/>
          <w:sz w:val="20"/>
          <w:szCs w:val="20"/>
        </w:rPr>
      </w:pPr>
      <w:r>
        <w:rPr>
          <w:noProof/>
        </w:rPr>
        <w:drawing>
          <wp:inline distT="0" distB="0" distL="0" distR="0" wp14:anchorId="767482AA" wp14:editId="7DC4FC14">
            <wp:extent cx="6675120" cy="17246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5120" cy="1724660"/>
                    </a:xfrm>
                    <a:prstGeom prst="rect">
                      <a:avLst/>
                    </a:prstGeom>
                    <a:noFill/>
                    <a:ln>
                      <a:noFill/>
                    </a:ln>
                  </pic:spPr>
                </pic:pic>
              </a:graphicData>
            </a:graphic>
          </wp:inline>
        </w:drawing>
      </w:r>
    </w:p>
    <w:p w14:paraId="39EEEFB9" w14:textId="368B34CC" w:rsidR="00D715A2" w:rsidRPr="00A6296D" w:rsidRDefault="009068C8" w:rsidP="00D715A2">
      <w:pPr>
        <w:pStyle w:val="NoSpacing"/>
        <w:rPr>
          <w:rFonts w:ascii="Arial" w:hAnsi="Arial" w:cs="Arial"/>
          <w:sz w:val="20"/>
          <w:szCs w:val="20"/>
        </w:rPr>
      </w:pPr>
      <w:r>
        <w:rPr>
          <w:rFonts w:ascii="Arial" w:eastAsia="Times New Roman" w:hAnsi="Arial" w:cs="Arial"/>
          <w:color w:val="000000"/>
          <w:sz w:val="16"/>
          <w:szCs w:val="16"/>
        </w:rPr>
        <w:t>Cox proportional hazard model r</w:t>
      </w:r>
      <w:r w:rsidRPr="00AB7659">
        <w:rPr>
          <w:rFonts w:ascii="Arial" w:eastAsia="Times New Roman" w:hAnsi="Arial" w:cs="Arial"/>
          <w:color w:val="000000"/>
          <w:sz w:val="16"/>
          <w:szCs w:val="16"/>
        </w:rPr>
        <w:t xml:space="preserve">esults for </w:t>
      </w:r>
      <w:r>
        <w:rPr>
          <w:rFonts w:ascii="Arial" w:eastAsia="Times New Roman" w:hAnsi="Arial" w:cs="Arial"/>
          <w:color w:val="000000"/>
          <w:sz w:val="16"/>
          <w:szCs w:val="16"/>
        </w:rPr>
        <w:t xml:space="preserve">T2DM remission </w:t>
      </w:r>
      <w:r w:rsidRPr="00AB7659">
        <w:rPr>
          <w:rFonts w:ascii="Arial" w:eastAsia="Times New Roman" w:hAnsi="Arial" w:cs="Arial"/>
          <w:color w:val="000000"/>
          <w:sz w:val="16"/>
          <w:szCs w:val="16"/>
        </w:rPr>
        <w:t xml:space="preserve">as related to </w:t>
      </w:r>
      <w:r>
        <w:rPr>
          <w:rFonts w:ascii="Arial" w:eastAsia="Times New Roman" w:hAnsi="Arial" w:cs="Arial"/>
          <w:color w:val="000000"/>
          <w:sz w:val="16"/>
          <w:szCs w:val="16"/>
        </w:rPr>
        <w:t xml:space="preserve">percent of weight lost from surgery date until date of remission or censoring, as compared to patients who lost 0-5% of their surgery </w:t>
      </w:r>
      <w:r w:rsidRPr="009700C7">
        <w:rPr>
          <w:rFonts w:ascii="Arial" w:eastAsia="Times New Roman" w:hAnsi="Arial" w:cs="Arial"/>
          <w:color w:val="000000"/>
          <w:sz w:val="16"/>
          <w:szCs w:val="16"/>
        </w:rPr>
        <w:t>weight.</w:t>
      </w:r>
      <w:r>
        <w:rPr>
          <w:rFonts w:ascii="Arial" w:eastAsia="Times New Roman" w:hAnsi="Arial" w:cs="Arial"/>
          <w:color w:val="000000"/>
          <w:sz w:val="16"/>
          <w:szCs w:val="16"/>
        </w:rPr>
        <w:t xml:space="preserve"> %TWL was modeled as a time-varying covariate.</w:t>
      </w:r>
      <w:r w:rsidRPr="009700C7">
        <w:rPr>
          <w:rFonts w:ascii="Arial" w:eastAsia="Times New Roman" w:hAnsi="Arial" w:cs="Arial"/>
          <w:color w:val="000000"/>
          <w:sz w:val="16"/>
          <w:szCs w:val="16"/>
        </w:rPr>
        <w:t xml:space="preserve"> Sample is ENGAGE recipients of bariatric surgery who</w:t>
      </w:r>
      <w:r>
        <w:rPr>
          <w:rFonts w:ascii="Arial" w:eastAsia="Times New Roman" w:hAnsi="Arial" w:cs="Arial"/>
          <w:color w:val="000000"/>
          <w:sz w:val="16"/>
          <w:szCs w:val="16"/>
        </w:rPr>
        <w:t xml:space="preserve"> had T2DM at time of surgery and subsequently had their weight measured, had their weight measured at time of T2DM remission (if they remitted), and were not outliers (weight gain of &gt;0% or weight loss of &gt;50%)</w:t>
      </w:r>
      <w:r w:rsidRPr="009700C7">
        <w:rPr>
          <w:rFonts w:ascii="Arial" w:eastAsia="Times New Roman" w:hAnsi="Arial" w:cs="Arial"/>
          <w:color w:val="000000"/>
          <w:sz w:val="16"/>
          <w:szCs w:val="16"/>
        </w:rPr>
        <w:t xml:space="preserve">. HR (hazard ratios) adjust for </w:t>
      </w:r>
      <w:r>
        <w:rPr>
          <w:rFonts w:ascii="Arial" w:eastAsia="Times New Roman" w:hAnsi="Arial" w:cs="Arial"/>
          <w:color w:val="000000"/>
          <w:sz w:val="16"/>
          <w:szCs w:val="16"/>
        </w:rPr>
        <w:t xml:space="preserve">sex, race/ethnicity, age, age squared, surgery type, </w:t>
      </w:r>
      <w:r w:rsidRPr="009700C7">
        <w:rPr>
          <w:rFonts w:ascii="Arial" w:eastAsia="Times New Roman" w:hAnsi="Arial" w:cs="Arial"/>
          <w:color w:val="000000"/>
          <w:sz w:val="16"/>
          <w:szCs w:val="16"/>
        </w:rPr>
        <w:t>BMI</w:t>
      </w:r>
      <w:r>
        <w:rPr>
          <w:rFonts w:ascii="Arial" w:eastAsia="Times New Roman" w:hAnsi="Arial" w:cs="Arial"/>
          <w:color w:val="000000"/>
          <w:sz w:val="16"/>
          <w:szCs w:val="16"/>
        </w:rPr>
        <w:t>≥</w:t>
      </w:r>
      <w:r w:rsidRPr="009700C7">
        <w:rPr>
          <w:rFonts w:ascii="Arial" w:eastAsia="Times New Roman" w:hAnsi="Arial" w:cs="Arial"/>
          <w:color w:val="000000"/>
          <w:sz w:val="16"/>
          <w:szCs w:val="16"/>
        </w:rPr>
        <w:t>50 at surgery indicator</w:t>
      </w:r>
      <w:r>
        <w:rPr>
          <w:rFonts w:ascii="Arial" w:eastAsia="Times New Roman" w:hAnsi="Arial" w:cs="Arial"/>
          <w:color w:val="000000"/>
          <w:sz w:val="16"/>
          <w:szCs w:val="16"/>
        </w:rPr>
        <w:t xml:space="preserve">, insulin use at surgery indicator, </w:t>
      </w:r>
      <w:r w:rsidR="00D715A2" w:rsidRPr="009700C7">
        <w:rPr>
          <w:rFonts w:ascii="Arial" w:eastAsia="Times New Roman" w:hAnsi="Arial" w:cs="Arial"/>
          <w:color w:val="000000"/>
          <w:sz w:val="16"/>
          <w:szCs w:val="16"/>
        </w:rPr>
        <w:t>number of diabetes drugs at surgery (indicators for 0, 1, and 2),</w:t>
      </w:r>
      <w:r w:rsidR="00D715A2">
        <w:rPr>
          <w:rFonts w:ascii="Arial" w:eastAsia="Times New Roman" w:hAnsi="Arial" w:cs="Arial"/>
          <w:color w:val="000000"/>
          <w:sz w:val="16"/>
          <w:szCs w:val="16"/>
        </w:rPr>
        <w:t xml:space="preserve"> </w:t>
      </w:r>
      <w:r w:rsidR="00D715A2" w:rsidRPr="009700C7">
        <w:rPr>
          <w:rFonts w:ascii="Arial" w:eastAsia="Times New Roman" w:hAnsi="Arial" w:cs="Arial"/>
          <w:color w:val="000000"/>
          <w:sz w:val="16"/>
          <w:szCs w:val="16"/>
        </w:rPr>
        <w:t>pre-surgery weight change above median</w:t>
      </w:r>
      <w:r w:rsidR="00D715A2">
        <w:rPr>
          <w:rFonts w:ascii="Arial" w:eastAsia="Times New Roman" w:hAnsi="Arial" w:cs="Arial"/>
          <w:color w:val="000000"/>
          <w:sz w:val="16"/>
          <w:szCs w:val="16"/>
        </w:rPr>
        <w:t xml:space="preserve"> indicator, </w:t>
      </w:r>
      <w:r w:rsidR="00D715A2" w:rsidRPr="009700C7">
        <w:rPr>
          <w:rFonts w:ascii="Arial" w:eastAsia="Times New Roman" w:hAnsi="Arial" w:cs="Arial"/>
          <w:color w:val="000000"/>
          <w:sz w:val="16"/>
          <w:szCs w:val="16"/>
        </w:rPr>
        <w:t xml:space="preserve">HBA1C (quartiles), </w:t>
      </w:r>
      <w:proofErr w:type="spellStart"/>
      <w:r w:rsidR="00D715A2">
        <w:rPr>
          <w:rFonts w:ascii="Arial" w:eastAsia="Times New Roman" w:hAnsi="Arial" w:cs="Arial"/>
          <w:color w:val="000000"/>
          <w:sz w:val="16"/>
          <w:szCs w:val="16"/>
        </w:rPr>
        <w:t>DiaRem</w:t>
      </w:r>
      <w:proofErr w:type="spellEnd"/>
      <w:r w:rsidR="00D715A2" w:rsidRPr="009700C7">
        <w:rPr>
          <w:rFonts w:ascii="Arial" w:eastAsia="Times New Roman" w:hAnsi="Arial" w:cs="Arial"/>
          <w:color w:val="000000"/>
          <w:sz w:val="16"/>
          <w:szCs w:val="16"/>
        </w:rPr>
        <w:t xml:space="preserve"> score (quartiles), </w:t>
      </w:r>
      <w:proofErr w:type="spellStart"/>
      <w:r w:rsidR="00D715A2" w:rsidRPr="009700C7">
        <w:rPr>
          <w:rFonts w:ascii="Arial" w:eastAsia="Times New Roman" w:hAnsi="Arial" w:cs="Arial"/>
          <w:color w:val="000000"/>
          <w:sz w:val="16"/>
          <w:szCs w:val="16"/>
        </w:rPr>
        <w:t>Elixhauser</w:t>
      </w:r>
      <w:proofErr w:type="spellEnd"/>
      <w:r w:rsidR="00D715A2" w:rsidRPr="009700C7">
        <w:rPr>
          <w:rFonts w:ascii="Arial" w:eastAsia="Times New Roman" w:hAnsi="Arial" w:cs="Arial"/>
          <w:color w:val="000000"/>
          <w:sz w:val="16"/>
          <w:szCs w:val="16"/>
        </w:rPr>
        <w:t xml:space="preserve"> score (quartiles)</w:t>
      </w:r>
      <w:r w:rsidR="00D715A2">
        <w:rPr>
          <w:rFonts w:ascii="Arial" w:eastAsia="Times New Roman" w:hAnsi="Arial" w:cs="Arial"/>
          <w:color w:val="000000"/>
          <w:sz w:val="16"/>
          <w:szCs w:val="16"/>
        </w:rPr>
        <w:t xml:space="preserve">, </w:t>
      </w:r>
      <w:r w:rsidR="00D715A2" w:rsidRPr="009700C7">
        <w:rPr>
          <w:rFonts w:ascii="Arial" w:eastAsia="Times New Roman" w:hAnsi="Arial" w:cs="Arial"/>
          <w:color w:val="000000"/>
          <w:sz w:val="16"/>
          <w:szCs w:val="16"/>
        </w:rPr>
        <w:t>weight at surgery (quartiles)</w:t>
      </w:r>
      <w:r w:rsidR="00D715A2">
        <w:rPr>
          <w:rFonts w:ascii="Arial" w:eastAsia="Times New Roman" w:hAnsi="Arial" w:cs="Arial"/>
          <w:color w:val="000000"/>
          <w:sz w:val="16"/>
          <w:szCs w:val="16"/>
        </w:rPr>
        <w:t xml:space="preserve">. </w:t>
      </w:r>
      <w:r w:rsidR="00D715A2" w:rsidRPr="009700C7">
        <w:rPr>
          <w:rFonts w:ascii="Arial" w:eastAsia="Times New Roman" w:hAnsi="Arial" w:cs="Arial"/>
          <w:color w:val="000000"/>
          <w:sz w:val="16"/>
          <w:szCs w:val="16"/>
        </w:rPr>
        <w:t>Abbreviations: HR (hazard ratio), CI (confidence interval), BMI (body mass index)</w:t>
      </w:r>
      <w:r w:rsidR="00D715A2">
        <w:rPr>
          <w:rFonts w:ascii="Arial" w:eastAsia="Times New Roman" w:hAnsi="Arial" w:cs="Arial"/>
          <w:color w:val="000000"/>
          <w:sz w:val="16"/>
          <w:szCs w:val="16"/>
        </w:rPr>
        <w:t xml:space="preserve">, </w:t>
      </w:r>
      <w:proofErr w:type="spellStart"/>
      <w:r w:rsidR="00D715A2" w:rsidRPr="00832888">
        <w:rPr>
          <w:rFonts w:ascii="Arial" w:eastAsia="Times New Roman" w:hAnsi="Arial" w:cs="Arial"/>
          <w:color w:val="000000"/>
          <w:sz w:val="16"/>
          <w:szCs w:val="16"/>
        </w:rPr>
        <w:t>DiaRem</w:t>
      </w:r>
      <w:proofErr w:type="spellEnd"/>
      <w:r w:rsidR="00D715A2" w:rsidRPr="00832888">
        <w:rPr>
          <w:rFonts w:ascii="Arial" w:eastAsia="Times New Roman" w:hAnsi="Arial" w:cs="Arial"/>
          <w:color w:val="000000"/>
          <w:sz w:val="16"/>
          <w:szCs w:val="16"/>
        </w:rPr>
        <w:t xml:space="preserve"> (Diabetes Remission Score)</w:t>
      </w:r>
      <w:r w:rsidR="00D715A2">
        <w:rPr>
          <w:rFonts w:ascii="Arial" w:eastAsia="Times New Roman" w:hAnsi="Arial" w:cs="Arial"/>
          <w:color w:val="000000"/>
          <w:sz w:val="16"/>
          <w:szCs w:val="16"/>
        </w:rPr>
        <w:t>.</w:t>
      </w:r>
    </w:p>
    <w:p w14:paraId="61D1CA73" w14:textId="1E6F6A78" w:rsidR="009068C8" w:rsidRDefault="009068C8" w:rsidP="009068C8">
      <w:pPr>
        <w:pStyle w:val="NoSpacing"/>
        <w:rPr>
          <w:rFonts w:ascii="Arial" w:eastAsia="Times New Roman" w:hAnsi="Arial" w:cs="Arial"/>
          <w:color w:val="000000"/>
          <w:sz w:val="16"/>
          <w:szCs w:val="16"/>
        </w:rPr>
      </w:pPr>
    </w:p>
    <w:p w14:paraId="564A5309" w14:textId="77777777" w:rsidR="00351B33" w:rsidRDefault="00351B33" w:rsidP="00A6296D">
      <w:pPr>
        <w:pStyle w:val="NoSpacing"/>
        <w:rPr>
          <w:rFonts w:ascii="Arial" w:hAnsi="Arial" w:cs="Arial"/>
          <w:b/>
          <w:sz w:val="20"/>
          <w:szCs w:val="20"/>
          <w:u w:val="single"/>
        </w:rPr>
      </w:pPr>
    </w:p>
    <w:p w14:paraId="197E9E0D" w14:textId="77777777" w:rsidR="00351B33" w:rsidRDefault="00351B33" w:rsidP="00A6296D">
      <w:pPr>
        <w:pStyle w:val="NoSpacing"/>
        <w:rPr>
          <w:rFonts w:ascii="Arial" w:hAnsi="Arial" w:cs="Arial"/>
          <w:b/>
          <w:sz w:val="20"/>
          <w:szCs w:val="20"/>
          <w:u w:val="single"/>
        </w:rPr>
      </w:pPr>
    </w:p>
    <w:p w14:paraId="7E684332" w14:textId="77777777" w:rsidR="00351B33" w:rsidRDefault="00351B33" w:rsidP="00A6296D">
      <w:pPr>
        <w:pStyle w:val="NoSpacing"/>
        <w:rPr>
          <w:rFonts w:ascii="Arial" w:hAnsi="Arial" w:cs="Arial"/>
          <w:b/>
          <w:sz w:val="20"/>
          <w:szCs w:val="20"/>
          <w:u w:val="single"/>
        </w:rPr>
      </w:pPr>
    </w:p>
    <w:p w14:paraId="2FDCA832" w14:textId="77777777" w:rsidR="00351B33" w:rsidRDefault="00351B33" w:rsidP="00A6296D">
      <w:pPr>
        <w:pStyle w:val="NoSpacing"/>
        <w:rPr>
          <w:rFonts w:ascii="Arial" w:hAnsi="Arial" w:cs="Arial"/>
          <w:b/>
          <w:sz w:val="20"/>
          <w:szCs w:val="20"/>
          <w:u w:val="single"/>
        </w:rPr>
      </w:pPr>
    </w:p>
    <w:p w14:paraId="45FD7AC2" w14:textId="05E68386" w:rsidR="00947FC5" w:rsidRDefault="00947FC5">
      <w:pPr>
        <w:rPr>
          <w:rFonts w:ascii="Arial" w:hAnsi="Arial" w:cs="Arial"/>
          <w:b/>
          <w:sz w:val="20"/>
          <w:szCs w:val="20"/>
          <w:u w:val="single"/>
        </w:rPr>
      </w:pPr>
      <w:r>
        <w:rPr>
          <w:rFonts w:ascii="Arial" w:hAnsi="Arial" w:cs="Arial"/>
          <w:b/>
          <w:sz w:val="20"/>
          <w:szCs w:val="20"/>
          <w:u w:val="single"/>
        </w:rPr>
        <w:br w:type="page"/>
      </w:r>
    </w:p>
    <w:p w14:paraId="35A5619C" w14:textId="04B560F1" w:rsidR="00595A05" w:rsidRDefault="00595A05" w:rsidP="00595A05">
      <w:pPr>
        <w:pStyle w:val="NoSpacing"/>
        <w:rPr>
          <w:rFonts w:ascii="Arial" w:hAnsi="Arial" w:cs="Arial"/>
          <w:bCs/>
          <w:sz w:val="20"/>
          <w:szCs w:val="20"/>
        </w:rPr>
      </w:pPr>
      <w:r>
        <w:rPr>
          <w:rFonts w:ascii="Arial" w:hAnsi="Arial" w:cs="Arial"/>
          <w:b/>
          <w:sz w:val="20"/>
          <w:szCs w:val="20"/>
          <w:u w:val="single"/>
        </w:rPr>
        <w:lastRenderedPageBreak/>
        <w:t>Figure S9</w:t>
      </w:r>
      <w:r>
        <w:rPr>
          <w:rFonts w:ascii="Arial" w:hAnsi="Arial" w:cs="Arial"/>
          <w:bCs/>
          <w:sz w:val="20"/>
          <w:szCs w:val="20"/>
        </w:rPr>
        <w:t xml:space="preserve">. – Association between type 2 diabetes (T2DM) remission and weight loss after bariatric surgery, stratified by five categories of </w:t>
      </w:r>
      <w:proofErr w:type="spellStart"/>
      <w:r>
        <w:rPr>
          <w:rFonts w:ascii="Arial" w:hAnsi="Arial" w:cs="Arial"/>
          <w:bCs/>
          <w:sz w:val="20"/>
          <w:szCs w:val="20"/>
        </w:rPr>
        <w:t>DiaRem</w:t>
      </w:r>
      <w:proofErr w:type="spellEnd"/>
      <w:r>
        <w:rPr>
          <w:rFonts w:ascii="Arial" w:hAnsi="Arial" w:cs="Arial"/>
          <w:bCs/>
          <w:sz w:val="20"/>
          <w:szCs w:val="20"/>
        </w:rPr>
        <w:t xml:space="preserve"> score at surgery.</w:t>
      </w:r>
    </w:p>
    <w:p w14:paraId="3D54AD0E" w14:textId="77777777" w:rsidR="00595A05" w:rsidRDefault="00595A05" w:rsidP="00595A05">
      <w:pPr>
        <w:pStyle w:val="NoSpacing"/>
        <w:rPr>
          <w:rFonts w:ascii="Arial" w:hAnsi="Arial" w:cs="Arial"/>
          <w:bCs/>
          <w:sz w:val="20"/>
          <w:szCs w:val="20"/>
        </w:rPr>
      </w:pPr>
    </w:p>
    <w:p w14:paraId="3B293647" w14:textId="1A04A10F" w:rsidR="00351B33" w:rsidRDefault="00947FC5" w:rsidP="00A6296D">
      <w:pPr>
        <w:pStyle w:val="NoSpacing"/>
        <w:rPr>
          <w:rFonts w:ascii="Arial" w:hAnsi="Arial" w:cs="Arial"/>
          <w:b/>
          <w:sz w:val="20"/>
          <w:szCs w:val="20"/>
          <w:u w:val="single"/>
        </w:rPr>
      </w:pPr>
      <w:r>
        <w:rPr>
          <w:rFonts w:ascii="Arial" w:hAnsi="Arial" w:cs="Arial"/>
          <w:b/>
          <w:noProof/>
          <w:sz w:val="20"/>
          <w:szCs w:val="20"/>
          <w:u w:val="single"/>
        </w:rPr>
        <w:drawing>
          <wp:inline distT="0" distB="0" distL="0" distR="0" wp14:anchorId="3EA3879A" wp14:editId="32C60FDB">
            <wp:extent cx="6416575" cy="5654511"/>
            <wp:effectExtent l="0" t="0" r="3810" b="3810"/>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6416575" cy="5654511"/>
                    </a:xfrm>
                    <a:prstGeom prst="rect">
                      <a:avLst/>
                    </a:prstGeom>
                  </pic:spPr>
                </pic:pic>
              </a:graphicData>
            </a:graphic>
          </wp:inline>
        </w:drawing>
      </w:r>
    </w:p>
    <w:p w14:paraId="67F01E61" w14:textId="77777777" w:rsidR="00595A05" w:rsidRDefault="00595A05" w:rsidP="00595A05">
      <w:pPr>
        <w:pStyle w:val="NoSpacing"/>
        <w:jc w:val="both"/>
        <w:rPr>
          <w:rFonts w:ascii="Arial" w:hAnsi="Arial" w:cs="Arial"/>
          <w:sz w:val="20"/>
          <w:szCs w:val="20"/>
        </w:rPr>
      </w:pPr>
      <w:r>
        <w:rPr>
          <w:rFonts w:ascii="Arial" w:eastAsia="Times New Roman" w:hAnsi="Arial" w:cs="Arial"/>
          <w:color w:val="000000"/>
          <w:sz w:val="16"/>
          <w:szCs w:val="16"/>
        </w:rPr>
        <w:t xml:space="preserve">Cox proportional hazard model results for T2DM remission as related to percent of weight lost from surgery date until date of remission or censoring, as compared to patients who lost 0-5% of their surgery weight. %TWL was modeled as a time-varying covariate, interacted with five categories of </w:t>
      </w:r>
      <w:proofErr w:type="spellStart"/>
      <w:r>
        <w:rPr>
          <w:rFonts w:ascii="Arial" w:eastAsia="Times New Roman" w:hAnsi="Arial" w:cs="Arial"/>
          <w:color w:val="000000"/>
          <w:sz w:val="16"/>
          <w:szCs w:val="16"/>
        </w:rPr>
        <w:t>DiaRem</w:t>
      </w:r>
      <w:proofErr w:type="spellEnd"/>
      <w:r>
        <w:rPr>
          <w:rFonts w:ascii="Arial" w:eastAsia="Times New Roman" w:hAnsi="Arial" w:cs="Arial"/>
          <w:color w:val="000000"/>
          <w:sz w:val="16"/>
          <w:szCs w:val="16"/>
        </w:rPr>
        <w:t xml:space="preserve">. Sample is ENGAGE recipients of bariatric surgery who had T2DM at time of surgery and subsequently had their weight measured, had their weight measured at time of T2DM remission (if they remitted), and were not outliers (weight gain of &gt;0% or weight loss of &gt;50%). HR (hazard ratios) adjust for surgery type, sex, race/ethnicity, age, age squared, HBA1C (quartiles), </w:t>
      </w:r>
      <w:proofErr w:type="spellStart"/>
      <w:r>
        <w:rPr>
          <w:rFonts w:ascii="Arial" w:eastAsia="Times New Roman" w:hAnsi="Arial" w:cs="Arial"/>
          <w:color w:val="000000"/>
          <w:sz w:val="16"/>
          <w:szCs w:val="16"/>
        </w:rPr>
        <w:t>Elixhauser</w:t>
      </w:r>
      <w:proofErr w:type="spellEnd"/>
      <w:r>
        <w:rPr>
          <w:rFonts w:ascii="Arial" w:eastAsia="Times New Roman" w:hAnsi="Arial" w:cs="Arial"/>
          <w:color w:val="000000"/>
          <w:sz w:val="16"/>
          <w:szCs w:val="16"/>
        </w:rPr>
        <w:t xml:space="preserve"> score (quartiles), BMI (quartiles), weight at surgery (quartiles), BMI≥50 at surgery indicator, indicators for drug use in year and 3 months prior to surgery (aspirin, NSAIDs), number of diabetes drugs at surgery (indicators for 0, 1, and 2), drug use at surgery (dyslipidemia drugs, insulin), inpatient visits in year pre-surgery above median, emergency department visits in year pre-surgery above median, pre-surgery appointment attendance rate above median, pre-surgery weight change above median, and prior diagnosis indicators (hypertension, cirrhosis, sleep apnea, chronic kidney disease, serious mental condition, severe anxiety, mild to moderate anxiety). Abbreviations: HR (hazard ratio), CI (confidence interval), BMI (body mass index), TWL (total weight loss), T2DM (type 2 diabetes mellitus), RYGB (Roux-en-Y Gastric Bypass), </w:t>
      </w:r>
      <w:proofErr w:type="spellStart"/>
      <w:r>
        <w:rPr>
          <w:rFonts w:ascii="Arial" w:eastAsia="Times New Roman" w:hAnsi="Arial" w:cs="Arial"/>
          <w:color w:val="000000"/>
          <w:sz w:val="16"/>
          <w:szCs w:val="16"/>
        </w:rPr>
        <w:t>DiaRem</w:t>
      </w:r>
      <w:proofErr w:type="spellEnd"/>
      <w:r>
        <w:rPr>
          <w:rFonts w:ascii="Arial" w:eastAsia="Times New Roman" w:hAnsi="Arial" w:cs="Arial"/>
          <w:color w:val="000000"/>
          <w:sz w:val="16"/>
          <w:szCs w:val="16"/>
        </w:rPr>
        <w:t xml:space="preserve"> (Diabetes Remission Score), NSAIDS (non-steroidal anti-inflammatory drugs)</w:t>
      </w:r>
    </w:p>
    <w:p w14:paraId="50D40B31" w14:textId="77777777" w:rsidR="00351B33" w:rsidRDefault="00351B33" w:rsidP="00A6296D">
      <w:pPr>
        <w:pStyle w:val="NoSpacing"/>
        <w:rPr>
          <w:rFonts w:ascii="Arial" w:hAnsi="Arial" w:cs="Arial"/>
          <w:b/>
          <w:sz w:val="20"/>
          <w:szCs w:val="20"/>
          <w:u w:val="single"/>
        </w:rPr>
      </w:pPr>
    </w:p>
    <w:p w14:paraId="27124420" w14:textId="77777777" w:rsidR="00351B33" w:rsidRDefault="00351B33" w:rsidP="00A6296D">
      <w:pPr>
        <w:pStyle w:val="NoSpacing"/>
        <w:rPr>
          <w:rFonts w:ascii="Arial" w:hAnsi="Arial" w:cs="Arial"/>
          <w:b/>
          <w:sz w:val="20"/>
          <w:szCs w:val="20"/>
          <w:u w:val="single"/>
        </w:rPr>
      </w:pPr>
    </w:p>
    <w:p w14:paraId="70CB275A" w14:textId="77777777" w:rsidR="00351B33" w:rsidRDefault="00351B33" w:rsidP="00A6296D">
      <w:pPr>
        <w:pStyle w:val="NoSpacing"/>
        <w:rPr>
          <w:rFonts w:ascii="Arial" w:hAnsi="Arial" w:cs="Arial"/>
          <w:b/>
          <w:sz w:val="20"/>
          <w:szCs w:val="20"/>
          <w:u w:val="single"/>
        </w:rPr>
      </w:pPr>
    </w:p>
    <w:p w14:paraId="06FBC5CD" w14:textId="77777777" w:rsidR="00351B33" w:rsidRDefault="00351B33" w:rsidP="00A6296D">
      <w:pPr>
        <w:pStyle w:val="NoSpacing"/>
        <w:rPr>
          <w:rFonts w:ascii="Arial" w:hAnsi="Arial" w:cs="Arial"/>
          <w:b/>
          <w:sz w:val="20"/>
          <w:szCs w:val="20"/>
          <w:u w:val="single"/>
        </w:rPr>
      </w:pPr>
    </w:p>
    <w:p w14:paraId="4459580B" w14:textId="77777777" w:rsidR="00351B33" w:rsidRDefault="00351B33" w:rsidP="00A6296D">
      <w:pPr>
        <w:pStyle w:val="NoSpacing"/>
        <w:rPr>
          <w:rFonts w:ascii="Arial" w:hAnsi="Arial" w:cs="Arial"/>
          <w:b/>
          <w:sz w:val="20"/>
          <w:szCs w:val="20"/>
          <w:u w:val="single"/>
        </w:rPr>
      </w:pPr>
    </w:p>
    <w:p w14:paraId="5D1E8D49" w14:textId="77777777" w:rsidR="00351B33" w:rsidRDefault="00351B33" w:rsidP="00A6296D">
      <w:pPr>
        <w:pStyle w:val="NoSpacing"/>
        <w:rPr>
          <w:rFonts w:ascii="Arial" w:hAnsi="Arial" w:cs="Arial"/>
          <w:b/>
          <w:sz w:val="20"/>
          <w:szCs w:val="20"/>
          <w:u w:val="single"/>
        </w:rPr>
      </w:pPr>
    </w:p>
    <w:p w14:paraId="5AC7BB76" w14:textId="77777777" w:rsidR="00351B33" w:rsidRDefault="00351B33" w:rsidP="00A6296D">
      <w:pPr>
        <w:pStyle w:val="NoSpacing"/>
        <w:rPr>
          <w:rFonts w:ascii="Arial" w:hAnsi="Arial" w:cs="Arial"/>
          <w:b/>
          <w:sz w:val="20"/>
          <w:szCs w:val="20"/>
          <w:u w:val="single"/>
        </w:rPr>
      </w:pPr>
    </w:p>
    <w:p w14:paraId="3F69DFC1" w14:textId="77777777" w:rsidR="00351B33" w:rsidRDefault="00351B33" w:rsidP="00A6296D">
      <w:pPr>
        <w:pStyle w:val="NoSpacing"/>
        <w:rPr>
          <w:rFonts w:ascii="Arial" w:hAnsi="Arial" w:cs="Arial"/>
          <w:b/>
          <w:sz w:val="20"/>
          <w:szCs w:val="20"/>
          <w:u w:val="single"/>
        </w:rPr>
      </w:pPr>
    </w:p>
    <w:p w14:paraId="7E45AE01" w14:textId="77777777" w:rsidR="00351B33" w:rsidRDefault="00351B33" w:rsidP="00A6296D">
      <w:pPr>
        <w:pStyle w:val="NoSpacing"/>
        <w:rPr>
          <w:rFonts w:ascii="Arial" w:hAnsi="Arial" w:cs="Arial"/>
          <w:b/>
          <w:sz w:val="20"/>
          <w:szCs w:val="20"/>
          <w:u w:val="single"/>
        </w:rPr>
      </w:pPr>
    </w:p>
    <w:p w14:paraId="48A2507A" w14:textId="77777777" w:rsidR="00351B33" w:rsidRDefault="00351B33" w:rsidP="00A6296D">
      <w:pPr>
        <w:pStyle w:val="NoSpacing"/>
        <w:rPr>
          <w:rFonts w:ascii="Arial" w:hAnsi="Arial" w:cs="Arial"/>
          <w:b/>
          <w:sz w:val="20"/>
          <w:szCs w:val="20"/>
          <w:u w:val="single"/>
        </w:rPr>
      </w:pPr>
    </w:p>
    <w:p w14:paraId="21CC769C" w14:textId="77777777" w:rsidR="00351B33" w:rsidRDefault="00351B33" w:rsidP="00A6296D">
      <w:pPr>
        <w:pStyle w:val="NoSpacing"/>
        <w:rPr>
          <w:rFonts w:ascii="Arial" w:hAnsi="Arial" w:cs="Arial"/>
          <w:b/>
          <w:sz w:val="20"/>
          <w:szCs w:val="20"/>
          <w:u w:val="single"/>
        </w:rPr>
      </w:pPr>
    </w:p>
    <w:p w14:paraId="2D9C4327" w14:textId="77777777" w:rsidR="008E72E2" w:rsidRPr="00351B33" w:rsidRDefault="008E72E2" w:rsidP="008E72E2">
      <w:pPr>
        <w:pStyle w:val="NoSpacing"/>
        <w:rPr>
          <w:rFonts w:ascii="Arial" w:hAnsi="Arial" w:cs="Arial"/>
          <w:bCs/>
          <w:sz w:val="20"/>
          <w:szCs w:val="20"/>
        </w:rPr>
      </w:pPr>
      <w:r>
        <w:rPr>
          <w:rFonts w:ascii="Arial" w:hAnsi="Arial" w:cs="Arial"/>
          <w:b/>
          <w:sz w:val="20"/>
          <w:szCs w:val="20"/>
          <w:u w:val="single"/>
        </w:rPr>
        <w:t>Table S1.</w:t>
      </w:r>
      <w:r>
        <w:rPr>
          <w:rFonts w:ascii="Arial" w:hAnsi="Arial" w:cs="Arial"/>
          <w:b/>
          <w:sz w:val="20"/>
          <w:szCs w:val="20"/>
        </w:rPr>
        <w:t xml:space="preserve"> </w:t>
      </w:r>
      <w:r>
        <w:rPr>
          <w:rFonts w:ascii="Arial" w:hAnsi="Arial" w:cs="Arial"/>
          <w:bCs/>
          <w:sz w:val="20"/>
          <w:szCs w:val="20"/>
        </w:rPr>
        <w:t>Types of diabetes medications used to define the T2DM cohort, and medications used after surgery.</w:t>
      </w:r>
    </w:p>
    <w:p w14:paraId="19EC7827" w14:textId="527C82B9" w:rsidR="00351B33" w:rsidRDefault="00351B33" w:rsidP="00A6296D">
      <w:pPr>
        <w:pStyle w:val="NoSpacing"/>
        <w:rPr>
          <w:rFonts w:ascii="Arial" w:hAnsi="Arial" w:cs="Arial"/>
          <w:b/>
          <w:sz w:val="20"/>
          <w:szCs w:val="20"/>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5"/>
        <w:gridCol w:w="1039"/>
        <w:gridCol w:w="1260"/>
      </w:tblGrid>
      <w:tr w:rsidR="0026405B" w:rsidRPr="0026405B" w14:paraId="07BCF75F" w14:textId="77777777" w:rsidTr="007456F3">
        <w:trPr>
          <w:trHeight w:val="288"/>
        </w:trPr>
        <w:tc>
          <w:tcPr>
            <w:tcW w:w="7825" w:type="dxa"/>
            <w:shd w:val="clear" w:color="auto" w:fill="auto"/>
            <w:noWrap/>
            <w:vAlign w:val="bottom"/>
            <w:hideMark/>
          </w:tcPr>
          <w:p w14:paraId="6674736C" w14:textId="77777777" w:rsidR="0026405B" w:rsidRPr="0026405B" w:rsidRDefault="0026405B" w:rsidP="0026405B">
            <w:pPr>
              <w:spacing w:after="0" w:line="240" w:lineRule="auto"/>
              <w:rPr>
                <w:rFonts w:ascii="Arial" w:eastAsia="Times New Roman" w:hAnsi="Arial" w:cs="Arial"/>
                <w:b/>
                <w:bCs/>
                <w:sz w:val="20"/>
                <w:szCs w:val="20"/>
              </w:rPr>
            </w:pPr>
            <w:r w:rsidRPr="0026405B">
              <w:rPr>
                <w:rFonts w:ascii="Arial" w:eastAsia="Times New Roman" w:hAnsi="Arial" w:cs="Arial"/>
                <w:b/>
                <w:bCs/>
                <w:sz w:val="20"/>
                <w:szCs w:val="20"/>
              </w:rPr>
              <w:t>Medication</w:t>
            </w:r>
          </w:p>
        </w:tc>
        <w:tc>
          <w:tcPr>
            <w:tcW w:w="990" w:type="dxa"/>
            <w:shd w:val="clear" w:color="auto" w:fill="auto"/>
            <w:noWrap/>
            <w:vAlign w:val="bottom"/>
            <w:hideMark/>
          </w:tcPr>
          <w:p w14:paraId="1C7CE85A" w14:textId="77777777" w:rsidR="0026405B" w:rsidRPr="0026405B" w:rsidRDefault="0026405B" w:rsidP="0026405B">
            <w:pPr>
              <w:spacing w:after="0" w:line="240" w:lineRule="auto"/>
              <w:rPr>
                <w:rFonts w:ascii="Arial" w:eastAsia="Times New Roman" w:hAnsi="Arial" w:cs="Arial"/>
                <w:b/>
                <w:bCs/>
                <w:sz w:val="20"/>
                <w:szCs w:val="20"/>
              </w:rPr>
            </w:pPr>
            <w:r w:rsidRPr="0026405B">
              <w:rPr>
                <w:rFonts w:ascii="Arial" w:eastAsia="Times New Roman" w:hAnsi="Arial" w:cs="Arial"/>
                <w:b/>
                <w:bCs/>
                <w:sz w:val="20"/>
                <w:szCs w:val="20"/>
              </w:rPr>
              <w:t>Baseline</w:t>
            </w:r>
          </w:p>
        </w:tc>
        <w:tc>
          <w:tcPr>
            <w:tcW w:w="1260" w:type="dxa"/>
            <w:shd w:val="clear" w:color="auto" w:fill="auto"/>
            <w:noWrap/>
            <w:vAlign w:val="bottom"/>
            <w:hideMark/>
          </w:tcPr>
          <w:p w14:paraId="7EEA90AB" w14:textId="77777777" w:rsidR="0026405B" w:rsidRPr="0026405B" w:rsidRDefault="0026405B" w:rsidP="0026405B">
            <w:pPr>
              <w:spacing w:after="0" w:line="240" w:lineRule="auto"/>
              <w:rPr>
                <w:rFonts w:ascii="Arial" w:eastAsia="Times New Roman" w:hAnsi="Arial" w:cs="Arial"/>
                <w:b/>
                <w:bCs/>
                <w:sz w:val="20"/>
                <w:szCs w:val="20"/>
              </w:rPr>
            </w:pPr>
            <w:r w:rsidRPr="0026405B">
              <w:rPr>
                <w:rFonts w:ascii="Arial" w:eastAsia="Times New Roman" w:hAnsi="Arial" w:cs="Arial"/>
                <w:b/>
                <w:bCs/>
                <w:sz w:val="20"/>
                <w:szCs w:val="20"/>
              </w:rPr>
              <w:t>Follow-Up</w:t>
            </w:r>
          </w:p>
        </w:tc>
      </w:tr>
      <w:tr w:rsidR="0026405B" w:rsidRPr="0026405B" w14:paraId="64814C59" w14:textId="77777777" w:rsidTr="007456F3">
        <w:trPr>
          <w:trHeight w:val="288"/>
        </w:trPr>
        <w:tc>
          <w:tcPr>
            <w:tcW w:w="7825" w:type="dxa"/>
            <w:shd w:val="clear" w:color="auto" w:fill="auto"/>
            <w:noWrap/>
            <w:vAlign w:val="bottom"/>
            <w:hideMark/>
          </w:tcPr>
          <w:p w14:paraId="776AA5BD" w14:textId="77777777" w:rsidR="0026405B" w:rsidRPr="0026405B" w:rsidRDefault="0026405B" w:rsidP="0026405B">
            <w:pPr>
              <w:spacing w:after="0" w:line="240" w:lineRule="auto"/>
              <w:rPr>
                <w:rFonts w:ascii="Arial" w:eastAsia="Times New Roman" w:hAnsi="Arial" w:cs="Arial"/>
                <w:sz w:val="20"/>
                <w:szCs w:val="20"/>
              </w:rPr>
            </w:pPr>
            <w:r w:rsidRPr="0026405B">
              <w:rPr>
                <w:rFonts w:ascii="Arial" w:eastAsia="Times New Roman" w:hAnsi="Arial" w:cs="Arial"/>
                <w:sz w:val="20"/>
                <w:szCs w:val="20"/>
              </w:rPr>
              <w:t>GLIPIZIDE</w:t>
            </w:r>
          </w:p>
        </w:tc>
        <w:tc>
          <w:tcPr>
            <w:tcW w:w="990" w:type="dxa"/>
            <w:shd w:val="clear" w:color="auto" w:fill="auto"/>
            <w:noWrap/>
            <w:vAlign w:val="bottom"/>
            <w:hideMark/>
          </w:tcPr>
          <w:p w14:paraId="516546A2" w14:textId="77777777" w:rsidR="0026405B" w:rsidRPr="0026405B" w:rsidRDefault="0026405B" w:rsidP="0026405B">
            <w:pPr>
              <w:spacing w:after="0" w:line="240" w:lineRule="auto"/>
              <w:jc w:val="right"/>
              <w:rPr>
                <w:rFonts w:ascii="Arial" w:eastAsia="Times New Roman" w:hAnsi="Arial" w:cs="Arial"/>
                <w:sz w:val="20"/>
                <w:szCs w:val="20"/>
              </w:rPr>
            </w:pPr>
            <w:r w:rsidRPr="0026405B">
              <w:rPr>
                <w:rFonts w:ascii="Arial" w:eastAsia="Times New Roman" w:hAnsi="Arial" w:cs="Arial"/>
                <w:sz w:val="20"/>
                <w:szCs w:val="20"/>
              </w:rPr>
              <w:t>10340</w:t>
            </w:r>
          </w:p>
        </w:tc>
        <w:tc>
          <w:tcPr>
            <w:tcW w:w="1260" w:type="dxa"/>
            <w:shd w:val="clear" w:color="auto" w:fill="auto"/>
            <w:noWrap/>
            <w:vAlign w:val="bottom"/>
            <w:hideMark/>
          </w:tcPr>
          <w:p w14:paraId="3553A22C" w14:textId="77777777" w:rsidR="0026405B" w:rsidRPr="0026405B" w:rsidRDefault="0026405B" w:rsidP="0026405B">
            <w:pPr>
              <w:spacing w:after="0" w:line="240" w:lineRule="auto"/>
              <w:jc w:val="right"/>
              <w:rPr>
                <w:rFonts w:ascii="Arial" w:eastAsia="Times New Roman" w:hAnsi="Arial" w:cs="Arial"/>
                <w:sz w:val="20"/>
                <w:szCs w:val="20"/>
              </w:rPr>
            </w:pPr>
            <w:r w:rsidRPr="0026405B">
              <w:rPr>
                <w:rFonts w:ascii="Arial" w:eastAsia="Times New Roman" w:hAnsi="Arial" w:cs="Arial"/>
                <w:sz w:val="20"/>
                <w:szCs w:val="20"/>
              </w:rPr>
              <w:t>1938</w:t>
            </w:r>
          </w:p>
        </w:tc>
      </w:tr>
      <w:tr w:rsidR="0026405B" w:rsidRPr="0026405B" w14:paraId="0DAAFE8C" w14:textId="77777777" w:rsidTr="007456F3">
        <w:trPr>
          <w:trHeight w:val="288"/>
        </w:trPr>
        <w:tc>
          <w:tcPr>
            <w:tcW w:w="7825" w:type="dxa"/>
            <w:shd w:val="clear" w:color="auto" w:fill="auto"/>
            <w:noWrap/>
            <w:vAlign w:val="bottom"/>
            <w:hideMark/>
          </w:tcPr>
          <w:p w14:paraId="4F5ACE6B" w14:textId="77777777" w:rsidR="0026405B" w:rsidRPr="0026405B" w:rsidRDefault="0026405B" w:rsidP="0026405B">
            <w:pPr>
              <w:spacing w:after="0" w:line="240" w:lineRule="auto"/>
              <w:rPr>
                <w:rFonts w:ascii="Arial" w:eastAsia="Times New Roman" w:hAnsi="Arial" w:cs="Arial"/>
                <w:sz w:val="20"/>
                <w:szCs w:val="20"/>
              </w:rPr>
            </w:pPr>
            <w:r w:rsidRPr="0026405B">
              <w:rPr>
                <w:rFonts w:ascii="Arial" w:eastAsia="Times New Roman" w:hAnsi="Arial" w:cs="Arial"/>
                <w:sz w:val="20"/>
                <w:szCs w:val="20"/>
              </w:rPr>
              <w:t>INSULIN ISOPHANE (HUMAN)</w:t>
            </w:r>
          </w:p>
        </w:tc>
        <w:tc>
          <w:tcPr>
            <w:tcW w:w="990" w:type="dxa"/>
            <w:shd w:val="clear" w:color="auto" w:fill="auto"/>
            <w:noWrap/>
            <w:vAlign w:val="bottom"/>
            <w:hideMark/>
          </w:tcPr>
          <w:p w14:paraId="69ADC1C6" w14:textId="77777777" w:rsidR="0026405B" w:rsidRPr="0026405B" w:rsidRDefault="0026405B" w:rsidP="0026405B">
            <w:pPr>
              <w:spacing w:after="0" w:line="240" w:lineRule="auto"/>
              <w:jc w:val="right"/>
              <w:rPr>
                <w:rFonts w:ascii="Arial" w:eastAsia="Times New Roman" w:hAnsi="Arial" w:cs="Arial"/>
                <w:sz w:val="20"/>
                <w:szCs w:val="20"/>
              </w:rPr>
            </w:pPr>
            <w:r w:rsidRPr="0026405B">
              <w:rPr>
                <w:rFonts w:ascii="Arial" w:eastAsia="Times New Roman" w:hAnsi="Arial" w:cs="Arial"/>
                <w:sz w:val="20"/>
                <w:szCs w:val="20"/>
              </w:rPr>
              <w:t>9004</w:t>
            </w:r>
          </w:p>
        </w:tc>
        <w:tc>
          <w:tcPr>
            <w:tcW w:w="1260" w:type="dxa"/>
            <w:shd w:val="clear" w:color="auto" w:fill="auto"/>
            <w:noWrap/>
            <w:vAlign w:val="bottom"/>
            <w:hideMark/>
          </w:tcPr>
          <w:p w14:paraId="49EFC024" w14:textId="77777777" w:rsidR="0026405B" w:rsidRPr="0026405B" w:rsidRDefault="0026405B" w:rsidP="0026405B">
            <w:pPr>
              <w:spacing w:after="0" w:line="240" w:lineRule="auto"/>
              <w:jc w:val="right"/>
              <w:rPr>
                <w:rFonts w:ascii="Arial" w:eastAsia="Times New Roman" w:hAnsi="Arial" w:cs="Arial"/>
                <w:sz w:val="20"/>
                <w:szCs w:val="20"/>
              </w:rPr>
            </w:pPr>
            <w:r w:rsidRPr="0026405B">
              <w:rPr>
                <w:rFonts w:ascii="Arial" w:eastAsia="Times New Roman" w:hAnsi="Arial" w:cs="Arial"/>
                <w:sz w:val="20"/>
                <w:szCs w:val="20"/>
              </w:rPr>
              <w:t>1790</w:t>
            </w:r>
          </w:p>
        </w:tc>
      </w:tr>
      <w:tr w:rsidR="0026405B" w:rsidRPr="0026405B" w14:paraId="4F3AC4C8" w14:textId="77777777" w:rsidTr="007456F3">
        <w:trPr>
          <w:trHeight w:val="288"/>
        </w:trPr>
        <w:tc>
          <w:tcPr>
            <w:tcW w:w="7825" w:type="dxa"/>
            <w:shd w:val="clear" w:color="auto" w:fill="auto"/>
            <w:noWrap/>
            <w:vAlign w:val="bottom"/>
            <w:hideMark/>
          </w:tcPr>
          <w:p w14:paraId="73F3EFB0" w14:textId="77777777" w:rsidR="0026405B" w:rsidRPr="0026405B" w:rsidRDefault="0026405B" w:rsidP="0026405B">
            <w:pPr>
              <w:spacing w:after="0" w:line="240" w:lineRule="auto"/>
              <w:rPr>
                <w:rFonts w:ascii="Arial" w:eastAsia="Times New Roman" w:hAnsi="Arial" w:cs="Arial"/>
                <w:sz w:val="20"/>
                <w:szCs w:val="20"/>
              </w:rPr>
            </w:pPr>
            <w:r w:rsidRPr="0026405B">
              <w:rPr>
                <w:rFonts w:ascii="Arial" w:eastAsia="Times New Roman" w:hAnsi="Arial" w:cs="Arial"/>
                <w:sz w:val="20"/>
                <w:szCs w:val="20"/>
              </w:rPr>
              <w:t>INSULIN REGULAR (HUMAN)</w:t>
            </w:r>
          </w:p>
        </w:tc>
        <w:tc>
          <w:tcPr>
            <w:tcW w:w="990" w:type="dxa"/>
            <w:shd w:val="clear" w:color="auto" w:fill="auto"/>
            <w:noWrap/>
            <w:vAlign w:val="bottom"/>
            <w:hideMark/>
          </w:tcPr>
          <w:p w14:paraId="703F20EE" w14:textId="77777777" w:rsidR="0026405B" w:rsidRPr="0026405B" w:rsidRDefault="0026405B" w:rsidP="0026405B">
            <w:pPr>
              <w:spacing w:after="0" w:line="240" w:lineRule="auto"/>
              <w:jc w:val="right"/>
              <w:rPr>
                <w:rFonts w:ascii="Arial" w:eastAsia="Times New Roman" w:hAnsi="Arial" w:cs="Arial"/>
                <w:sz w:val="20"/>
                <w:szCs w:val="20"/>
              </w:rPr>
            </w:pPr>
            <w:r w:rsidRPr="0026405B">
              <w:rPr>
                <w:rFonts w:ascii="Arial" w:eastAsia="Times New Roman" w:hAnsi="Arial" w:cs="Arial"/>
                <w:sz w:val="20"/>
                <w:szCs w:val="20"/>
              </w:rPr>
              <w:t>4558</w:t>
            </w:r>
          </w:p>
        </w:tc>
        <w:tc>
          <w:tcPr>
            <w:tcW w:w="1260" w:type="dxa"/>
            <w:shd w:val="clear" w:color="auto" w:fill="auto"/>
            <w:noWrap/>
            <w:vAlign w:val="bottom"/>
            <w:hideMark/>
          </w:tcPr>
          <w:p w14:paraId="40DF3D2D" w14:textId="77777777" w:rsidR="0026405B" w:rsidRPr="0026405B" w:rsidRDefault="0026405B" w:rsidP="0026405B">
            <w:pPr>
              <w:spacing w:after="0" w:line="240" w:lineRule="auto"/>
              <w:jc w:val="right"/>
              <w:rPr>
                <w:rFonts w:ascii="Arial" w:eastAsia="Times New Roman" w:hAnsi="Arial" w:cs="Arial"/>
                <w:sz w:val="20"/>
                <w:szCs w:val="20"/>
              </w:rPr>
            </w:pPr>
            <w:r w:rsidRPr="0026405B">
              <w:rPr>
                <w:rFonts w:ascii="Arial" w:eastAsia="Times New Roman" w:hAnsi="Arial" w:cs="Arial"/>
                <w:sz w:val="20"/>
                <w:szCs w:val="20"/>
              </w:rPr>
              <w:t>839</w:t>
            </w:r>
          </w:p>
        </w:tc>
      </w:tr>
      <w:tr w:rsidR="0026405B" w:rsidRPr="0026405B" w14:paraId="6F2EB898" w14:textId="77777777" w:rsidTr="007456F3">
        <w:trPr>
          <w:trHeight w:val="288"/>
        </w:trPr>
        <w:tc>
          <w:tcPr>
            <w:tcW w:w="7825" w:type="dxa"/>
            <w:shd w:val="clear" w:color="auto" w:fill="auto"/>
            <w:noWrap/>
            <w:vAlign w:val="bottom"/>
            <w:hideMark/>
          </w:tcPr>
          <w:p w14:paraId="1C9C19E7"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GLARGINE</w:t>
            </w:r>
          </w:p>
        </w:tc>
        <w:tc>
          <w:tcPr>
            <w:tcW w:w="990" w:type="dxa"/>
            <w:shd w:val="clear" w:color="auto" w:fill="auto"/>
            <w:noWrap/>
            <w:vAlign w:val="bottom"/>
            <w:hideMark/>
          </w:tcPr>
          <w:p w14:paraId="2B9A865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4220</w:t>
            </w:r>
          </w:p>
        </w:tc>
        <w:tc>
          <w:tcPr>
            <w:tcW w:w="1260" w:type="dxa"/>
            <w:shd w:val="clear" w:color="auto" w:fill="auto"/>
            <w:noWrap/>
            <w:vAlign w:val="bottom"/>
            <w:hideMark/>
          </w:tcPr>
          <w:p w14:paraId="621F8B4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807</w:t>
            </w:r>
          </w:p>
        </w:tc>
      </w:tr>
      <w:tr w:rsidR="0026405B" w:rsidRPr="0026405B" w14:paraId="3CA98D8F" w14:textId="77777777" w:rsidTr="007456F3">
        <w:trPr>
          <w:trHeight w:val="288"/>
        </w:trPr>
        <w:tc>
          <w:tcPr>
            <w:tcW w:w="7825" w:type="dxa"/>
            <w:shd w:val="clear" w:color="auto" w:fill="auto"/>
            <w:noWrap/>
            <w:vAlign w:val="bottom"/>
            <w:hideMark/>
          </w:tcPr>
          <w:p w14:paraId="6E6C99F3"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GLYBURIDE</w:t>
            </w:r>
          </w:p>
        </w:tc>
        <w:tc>
          <w:tcPr>
            <w:tcW w:w="990" w:type="dxa"/>
            <w:shd w:val="clear" w:color="auto" w:fill="auto"/>
            <w:noWrap/>
            <w:vAlign w:val="bottom"/>
            <w:hideMark/>
          </w:tcPr>
          <w:p w14:paraId="575AED7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2389</w:t>
            </w:r>
          </w:p>
        </w:tc>
        <w:tc>
          <w:tcPr>
            <w:tcW w:w="1260" w:type="dxa"/>
            <w:shd w:val="clear" w:color="auto" w:fill="auto"/>
            <w:noWrap/>
            <w:vAlign w:val="bottom"/>
            <w:hideMark/>
          </w:tcPr>
          <w:p w14:paraId="5656027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268</w:t>
            </w:r>
          </w:p>
        </w:tc>
      </w:tr>
      <w:tr w:rsidR="0026405B" w:rsidRPr="0026405B" w14:paraId="47230918" w14:textId="77777777" w:rsidTr="007456F3">
        <w:trPr>
          <w:trHeight w:val="288"/>
        </w:trPr>
        <w:tc>
          <w:tcPr>
            <w:tcW w:w="7825" w:type="dxa"/>
            <w:shd w:val="clear" w:color="auto" w:fill="auto"/>
            <w:noWrap/>
            <w:vAlign w:val="bottom"/>
            <w:hideMark/>
          </w:tcPr>
          <w:p w14:paraId="4FA88A3B"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ASPART</w:t>
            </w:r>
          </w:p>
        </w:tc>
        <w:tc>
          <w:tcPr>
            <w:tcW w:w="990" w:type="dxa"/>
            <w:shd w:val="clear" w:color="auto" w:fill="auto"/>
            <w:noWrap/>
            <w:vAlign w:val="bottom"/>
            <w:hideMark/>
          </w:tcPr>
          <w:p w14:paraId="0FCBC6C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2328</w:t>
            </w:r>
          </w:p>
        </w:tc>
        <w:tc>
          <w:tcPr>
            <w:tcW w:w="1260" w:type="dxa"/>
            <w:shd w:val="clear" w:color="auto" w:fill="auto"/>
            <w:noWrap/>
            <w:vAlign w:val="bottom"/>
            <w:hideMark/>
          </w:tcPr>
          <w:p w14:paraId="1794EBB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574</w:t>
            </w:r>
          </w:p>
        </w:tc>
      </w:tr>
      <w:tr w:rsidR="0026405B" w:rsidRPr="0026405B" w14:paraId="1338304A" w14:textId="77777777" w:rsidTr="007456F3">
        <w:trPr>
          <w:trHeight w:val="288"/>
        </w:trPr>
        <w:tc>
          <w:tcPr>
            <w:tcW w:w="7825" w:type="dxa"/>
            <w:shd w:val="clear" w:color="auto" w:fill="auto"/>
            <w:noWrap/>
            <w:vAlign w:val="bottom"/>
            <w:hideMark/>
          </w:tcPr>
          <w:p w14:paraId="2620BA1B"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ISOPHANE (HUMAN) INJ 100 UNIT/ML LILL</w:t>
            </w:r>
          </w:p>
        </w:tc>
        <w:tc>
          <w:tcPr>
            <w:tcW w:w="990" w:type="dxa"/>
            <w:shd w:val="clear" w:color="auto" w:fill="auto"/>
            <w:noWrap/>
            <w:vAlign w:val="bottom"/>
            <w:hideMark/>
          </w:tcPr>
          <w:p w14:paraId="5090763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1909</w:t>
            </w:r>
          </w:p>
        </w:tc>
        <w:tc>
          <w:tcPr>
            <w:tcW w:w="1260" w:type="dxa"/>
            <w:shd w:val="clear" w:color="auto" w:fill="auto"/>
            <w:noWrap/>
            <w:vAlign w:val="bottom"/>
            <w:hideMark/>
          </w:tcPr>
          <w:p w14:paraId="51144F6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1335</w:t>
            </w:r>
          </w:p>
        </w:tc>
      </w:tr>
      <w:tr w:rsidR="0026405B" w:rsidRPr="0026405B" w14:paraId="39D95486" w14:textId="77777777" w:rsidTr="007456F3">
        <w:trPr>
          <w:trHeight w:val="288"/>
        </w:trPr>
        <w:tc>
          <w:tcPr>
            <w:tcW w:w="7825" w:type="dxa"/>
            <w:shd w:val="clear" w:color="auto" w:fill="auto"/>
            <w:noWrap/>
            <w:vAlign w:val="bottom"/>
            <w:hideMark/>
          </w:tcPr>
          <w:p w14:paraId="6DA14DFD"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10 MG APOT</w:t>
            </w:r>
          </w:p>
        </w:tc>
        <w:tc>
          <w:tcPr>
            <w:tcW w:w="990" w:type="dxa"/>
            <w:shd w:val="clear" w:color="auto" w:fill="auto"/>
            <w:noWrap/>
            <w:vAlign w:val="bottom"/>
            <w:hideMark/>
          </w:tcPr>
          <w:p w14:paraId="6039CB3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1503</w:t>
            </w:r>
          </w:p>
        </w:tc>
        <w:tc>
          <w:tcPr>
            <w:tcW w:w="1260" w:type="dxa"/>
            <w:shd w:val="clear" w:color="auto" w:fill="auto"/>
            <w:noWrap/>
            <w:vAlign w:val="bottom"/>
            <w:hideMark/>
          </w:tcPr>
          <w:p w14:paraId="2435AA7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1936</w:t>
            </w:r>
          </w:p>
        </w:tc>
      </w:tr>
      <w:tr w:rsidR="0026405B" w:rsidRPr="0026405B" w14:paraId="553754CE" w14:textId="77777777" w:rsidTr="007456F3">
        <w:trPr>
          <w:trHeight w:val="288"/>
        </w:trPr>
        <w:tc>
          <w:tcPr>
            <w:tcW w:w="7825" w:type="dxa"/>
            <w:shd w:val="clear" w:color="auto" w:fill="auto"/>
            <w:noWrap/>
            <w:vAlign w:val="bottom"/>
            <w:hideMark/>
          </w:tcPr>
          <w:p w14:paraId="618C627B"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REGULAR (HUMAN) INJ 100 UNIT/ML LILL</w:t>
            </w:r>
          </w:p>
        </w:tc>
        <w:tc>
          <w:tcPr>
            <w:tcW w:w="990" w:type="dxa"/>
            <w:shd w:val="clear" w:color="auto" w:fill="auto"/>
            <w:noWrap/>
            <w:vAlign w:val="bottom"/>
            <w:hideMark/>
          </w:tcPr>
          <w:p w14:paraId="61AB05AA"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1270</w:t>
            </w:r>
          </w:p>
        </w:tc>
        <w:tc>
          <w:tcPr>
            <w:tcW w:w="1260" w:type="dxa"/>
            <w:shd w:val="clear" w:color="auto" w:fill="auto"/>
            <w:noWrap/>
            <w:vAlign w:val="bottom"/>
            <w:hideMark/>
          </w:tcPr>
          <w:p w14:paraId="790523B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1760</w:t>
            </w:r>
          </w:p>
        </w:tc>
      </w:tr>
      <w:tr w:rsidR="0026405B" w:rsidRPr="0026405B" w14:paraId="08CAB02E" w14:textId="77777777" w:rsidTr="007456F3">
        <w:trPr>
          <w:trHeight w:val="288"/>
        </w:trPr>
        <w:tc>
          <w:tcPr>
            <w:tcW w:w="7825" w:type="dxa"/>
            <w:shd w:val="clear" w:color="auto" w:fill="auto"/>
            <w:noWrap/>
            <w:vAlign w:val="bottom"/>
            <w:hideMark/>
          </w:tcPr>
          <w:p w14:paraId="46BD4777"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5 MG APOT</w:t>
            </w:r>
          </w:p>
        </w:tc>
        <w:tc>
          <w:tcPr>
            <w:tcW w:w="990" w:type="dxa"/>
            <w:shd w:val="clear" w:color="auto" w:fill="auto"/>
            <w:noWrap/>
            <w:vAlign w:val="bottom"/>
            <w:hideMark/>
          </w:tcPr>
          <w:p w14:paraId="666B77E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1227</w:t>
            </w:r>
          </w:p>
        </w:tc>
        <w:tc>
          <w:tcPr>
            <w:tcW w:w="1260" w:type="dxa"/>
            <w:shd w:val="clear" w:color="auto" w:fill="auto"/>
            <w:noWrap/>
            <w:vAlign w:val="bottom"/>
            <w:hideMark/>
          </w:tcPr>
          <w:p w14:paraId="43E379F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3047</w:t>
            </w:r>
          </w:p>
        </w:tc>
      </w:tr>
      <w:tr w:rsidR="0026405B" w:rsidRPr="0026405B" w14:paraId="5180CF86" w14:textId="77777777" w:rsidTr="007456F3">
        <w:trPr>
          <w:trHeight w:val="288"/>
        </w:trPr>
        <w:tc>
          <w:tcPr>
            <w:tcW w:w="7825" w:type="dxa"/>
            <w:shd w:val="clear" w:color="auto" w:fill="auto"/>
            <w:noWrap/>
            <w:vAlign w:val="bottom"/>
            <w:hideMark/>
          </w:tcPr>
          <w:p w14:paraId="62D59812"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NPH (HUMAN) (ISOPHANE) INJ 100 UNIT/ML LILL</w:t>
            </w:r>
          </w:p>
        </w:tc>
        <w:tc>
          <w:tcPr>
            <w:tcW w:w="990" w:type="dxa"/>
            <w:shd w:val="clear" w:color="auto" w:fill="auto"/>
            <w:noWrap/>
            <w:vAlign w:val="bottom"/>
            <w:hideMark/>
          </w:tcPr>
          <w:p w14:paraId="3737CFB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1187</w:t>
            </w:r>
          </w:p>
        </w:tc>
        <w:tc>
          <w:tcPr>
            <w:tcW w:w="1260" w:type="dxa"/>
            <w:shd w:val="clear" w:color="auto" w:fill="auto"/>
            <w:noWrap/>
            <w:vAlign w:val="bottom"/>
            <w:hideMark/>
          </w:tcPr>
          <w:p w14:paraId="73279B6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3258</w:t>
            </w:r>
          </w:p>
        </w:tc>
      </w:tr>
      <w:tr w:rsidR="0026405B" w:rsidRPr="0026405B" w14:paraId="4B765D0A" w14:textId="77777777" w:rsidTr="007456F3">
        <w:trPr>
          <w:trHeight w:val="288"/>
        </w:trPr>
        <w:tc>
          <w:tcPr>
            <w:tcW w:w="7825" w:type="dxa"/>
            <w:shd w:val="clear" w:color="auto" w:fill="auto"/>
            <w:noWrap/>
            <w:vAlign w:val="bottom"/>
            <w:hideMark/>
          </w:tcPr>
          <w:p w14:paraId="55A6281D"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ISOPHANE &amp; REG (H</w:t>
            </w:r>
          </w:p>
        </w:tc>
        <w:tc>
          <w:tcPr>
            <w:tcW w:w="990" w:type="dxa"/>
            <w:shd w:val="clear" w:color="auto" w:fill="auto"/>
            <w:noWrap/>
            <w:vAlign w:val="bottom"/>
            <w:hideMark/>
          </w:tcPr>
          <w:p w14:paraId="625DB19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876</w:t>
            </w:r>
          </w:p>
        </w:tc>
        <w:tc>
          <w:tcPr>
            <w:tcW w:w="1260" w:type="dxa"/>
            <w:shd w:val="clear" w:color="auto" w:fill="auto"/>
            <w:noWrap/>
            <w:vAlign w:val="bottom"/>
            <w:hideMark/>
          </w:tcPr>
          <w:p w14:paraId="3F7375A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167</w:t>
            </w:r>
          </w:p>
        </w:tc>
      </w:tr>
      <w:tr w:rsidR="0026405B" w:rsidRPr="0026405B" w14:paraId="01CC698E" w14:textId="77777777" w:rsidTr="007456F3">
        <w:trPr>
          <w:trHeight w:val="288"/>
        </w:trPr>
        <w:tc>
          <w:tcPr>
            <w:tcW w:w="7825" w:type="dxa"/>
            <w:shd w:val="clear" w:color="auto" w:fill="auto"/>
            <w:noWrap/>
            <w:vAlign w:val="bottom"/>
            <w:hideMark/>
          </w:tcPr>
          <w:p w14:paraId="16DC37C1"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GLIPIZIDE-METFORMIN HCL</w:t>
            </w:r>
          </w:p>
        </w:tc>
        <w:tc>
          <w:tcPr>
            <w:tcW w:w="990" w:type="dxa"/>
            <w:shd w:val="clear" w:color="auto" w:fill="auto"/>
            <w:noWrap/>
            <w:vAlign w:val="bottom"/>
            <w:hideMark/>
          </w:tcPr>
          <w:p w14:paraId="1953A8E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867</w:t>
            </w:r>
          </w:p>
        </w:tc>
        <w:tc>
          <w:tcPr>
            <w:tcW w:w="1260" w:type="dxa"/>
            <w:shd w:val="clear" w:color="auto" w:fill="auto"/>
            <w:noWrap/>
            <w:vAlign w:val="bottom"/>
            <w:hideMark/>
          </w:tcPr>
          <w:p w14:paraId="39836BD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184</w:t>
            </w:r>
          </w:p>
        </w:tc>
      </w:tr>
      <w:tr w:rsidR="0026405B" w:rsidRPr="0026405B" w14:paraId="0EF8A6CB" w14:textId="77777777" w:rsidTr="007456F3">
        <w:trPr>
          <w:trHeight w:val="288"/>
        </w:trPr>
        <w:tc>
          <w:tcPr>
            <w:tcW w:w="7825" w:type="dxa"/>
            <w:shd w:val="clear" w:color="auto" w:fill="auto"/>
            <w:noWrap/>
            <w:vAlign w:val="bottom"/>
            <w:hideMark/>
          </w:tcPr>
          <w:p w14:paraId="19FA0F48"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SITAGLIPTIN PHOSPHATE</w:t>
            </w:r>
          </w:p>
        </w:tc>
        <w:tc>
          <w:tcPr>
            <w:tcW w:w="990" w:type="dxa"/>
            <w:shd w:val="clear" w:color="auto" w:fill="auto"/>
            <w:noWrap/>
            <w:vAlign w:val="bottom"/>
            <w:hideMark/>
          </w:tcPr>
          <w:p w14:paraId="2928F47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424</w:t>
            </w:r>
          </w:p>
        </w:tc>
        <w:tc>
          <w:tcPr>
            <w:tcW w:w="1260" w:type="dxa"/>
            <w:shd w:val="clear" w:color="auto" w:fill="auto"/>
            <w:noWrap/>
            <w:vAlign w:val="bottom"/>
            <w:hideMark/>
          </w:tcPr>
          <w:p w14:paraId="2336F8E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55</w:t>
            </w:r>
          </w:p>
        </w:tc>
      </w:tr>
      <w:tr w:rsidR="0026405B" w:rsidRPr="0026405B" w14:paraId="68478C17" w14:textId="77777777" w:rsidTr="007456F3">
        <w:trPr>
          <w:trHeight w:val="288"/>
        </w:trPr>
        <w:tc>
          <w:tcPr>
            <w:tcW w:w="7825" w:type="dxa"/>
            <w:shd w:val="clear" w:color="auto" w:fill="auto"/>
            <w:noWrap/>
            <w:vAlign w:val="bottom"/>
            <w:hideMark/>
          </w:tcPr>
          <w:p w14:paraId="74237589"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LISPRO (HUMAN) INJ 100 UNIT/ML LILL</w:t>
            </w:r>
          </w:p>
        </w:tc>
        <w:tc>
          <w:tcPr>
            <w:tcW w:w="990" w:type="dxa"/>
            <w:shd w:val="clear" w:color="auto" w:fill="auto"/>
            <w:noWrap/>
            <w:vAlign w:val="bottom"/>
            <w:hideMark/>
          </w:tcPr>
          <w:p w14:paraId="0F61070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328</w:t>
            </w:r>
          </w:p>
        </w:tc>
        <w:tc>
          <w:tcPr>
            <w:tcW w:w="1260" w:type="dxa"/>
            <w:shd w:val="clear" w:color="auto" w:fill="auto"/>
            <w:noWrap/>
            <w:vAlign w:val="bottom"/>
            <w:hideMark/>
          </w:tcPr>
          <w:p w14:paraId="18574D9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512</w:t>
            </w:r>
          </w:p>
        </w:tc>
      </w:tr>
      <w:tr w:rsidR="0026405B" w:rsidRPr="0026405B" w14:paraId="613EF773" w14:textId="77777777" w:rsidTr="007456F3">
        <w:trPr>
          <w:trHeight w:val="288"/>
        </w:trPr>
        <w:tc>
          <w:tcPr>
            <w:tcW w:w="7825" w:type="dxa"/>
            <w:shd w:val="clear" w:color="auto" w:fill="auto"/>
            <w:noWrap/>
            <w:vAlign w:val="bottom"/>
            <w:hideMark/>
          </w:tcPr>
          <w:p w14:paraId="1BD63516"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GLARGINE INJ 100 UNIT/ML SANO</w:t>
            </w:r>
          </w:p>
        </w:tc>
        <w:tc>
          <w:tcPr>
            <w:tcW w:w="990" w:type="dxa"/>
            <w:shd w:val="clear" w:color="auto" w:fill="auto"/>
            <w:noWrap/>
            <w:vAlign w:val="bottom"/>
            <w:hideMark/>
          </w:tcPr>
          <w:p w14:paraId="03BF419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280</w:t>
            </w:r>
          </w:p>
        </w:tc>
        <w:tc>
          <w:tcPr>
            <w:tcW w:w="1260" w:type="dxa"/>
            <w:shd w:val="clear" w:color="auto" w:fill="auto"/>
            <w:noWrap/>
            <w:vAlign w:val="bottom"/>
            <w:hideMark/>
          </w:tcPr>
          <w:p w14:paraId="5B442B5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838</w:t>
            </w:r>
          </w:p>
        </w:tc>
      </w:tr>
      <w:tr w:rsidR="0026405B" w:rsidRPr="0026405B" w14:paraId="42711648" w14:textId="77777777" w:rsidTr="007456F3">
        <w:trPr>
          <w:trHeight w:val="288"/>
        </w:trPr>
        <w:tc>
          <w:tcPr>
            <w:tcW w:w="7825" w:type="dxa"/>
            <w:shd w:val="clear" w:color="auto" w:fill="auto"/>
            <w:noWrap/>
            <w:vAlign w:val="bottom"/>
            <w:hideMark/>
          </w:tcPr>
          <w:p w14:paraId="47A7F0FC"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LISPRO (HUMAN)</w:t>
            </w:r>
          </w:p>
        </w:tc>
        <w:tc>
          <w:tcPr>
            <w:tcW w:w="990" w:type="dxa"/>
            <w:shd w:val="clear" w:color="auto" w:fill="auto"/>
            <w:noWrap/>
            <w:vAlign w:val="bottom"/>
            <w:hideMark/>
          </w:tcPr>
          <w:p w14:paraId="10D4D73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210</w:t>
            </w:r>
          </w:p>
        </w:tc>
        <w:tc>
          <w:tcPr>
            <w:tcW w:w="1260" w:type="dxa"/>
            <w:shd w:val="clear" w:color="auto" w:fill="auto"/>
            <w:noWrap/>
            <w:vAlign w:val="bottom"/>
            <w:hideMark/>
          </w:tcPr>
          <w:p w14:paraId="5050AFB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203</w:t>
            </w:r>
          </w:p>
        </w:tc>
      </w:tr>
      <w:tr w:rsidR="0026405B" w:rsidRPr="0026405B" w14:paraId="4B88DB26" w14:textId="77777777" w:rsidTr="007456F3">
        <w:trPr>
          <w:trHeight w:val="288"/>
        </w:trPr>
        <w:tc>
          <w:tcPr>
            <w:tcW w:w="7825" w:type="dxa"/>
            <w:shd w:val="clear" w:color="auto" w:fill="auto"/>
            <w:noWrap/>
            <w:vAlign w:val="bottom"/>
            <w:hideMark/>
          </w:tcPr>
          <w:p w14:paraId="0770A11A"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REGULAR (HUMAN) INJ 500 UNIT/ML LILL</w:t>
            </w:r>
          </w:p>
        </w:tc>
        <w:tc>
          <w:tcPr>
            <w:tcW w:w="990" w:type="dxa"/>
            <w:shd w:val="clear" w:color="auto" w:fill="auto"/>
            <w:noWrap/>
            <w:vAlign w:val="bottom"/>
            <w:hideMark/>
          </w:tcPr>
          <w:p w14:paraId="06E106DD"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209</w:t>
            </w:r>
          </w:p>
        </w:tc>
        <w:tc>
          <w:tcPr>
            <w:tcW w:w="1260" w:type="dxa"/>
            <w:shd w:val="clear" w:color="auto" w:fill="auto"/>
            <w:noWrap/>
            <w:vAlign w:val="bottom"/>
            <w:hideMark/>
          </w:tcPr>
          <w:p w14:paraId="01D10A6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90</w:t>
            </w:r>
          </w:p>
        </w:tc>
      </w:tr>
      <w:tr w:rsidR="0026405B" w:rsidRPr="0026405B" w14:paraId="486009AE" w14:textId="77777777" w:rsidTr="007456F3">
        <w:trPr>
          <w:trHeight w:val="288"/>
        </w:trPr>
        <w:tc>
          <w:tcPr>
            <w:tcW w:w="7825" w:type="dxa"/>
            <w:shd w:val="clear" w:color="auto" w:fill="auto"/>
            <w:noWrap/>
            <w:vAlign w:val="bottom"/>
            <w:hideMark/>
          </w:tcPr>
          <w:p w14:paraId="5C4C107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GLIPIZIDE-METFORMIN HCL TAB 5-500 MG TEVA</w:t>
            </w:r>
          </w:p>
        </w:tc>
        <w:tc>
          <w:tcPr>
            <w:tcW w:w="990" w:type="dxa"/>
            <w:shd w:val="clear" w:color="auto" w:fill="auto"/>
            <w:noWrap/>
            <w:vAlign w:val="bottom"/>
            <w:hideMark/>
          </w:tcPr>
          <w:p w14:paraId="6D20263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170</w:t>
            </w:r>
          </w:p>
        </w:tc>
        <w:tc>
          <w:tcPr>
            <w:tcW w:w="1260" w:type="dxa"/>
            <w:shd w:val="clear" w:color="auto" w:fill="auto"/>
            <w:noWrap/>
            <w:vAlign w:val="bottom"/>
            <w:hideMark/>
          </w:tcPr>
          <w:p w14:paraId="0566809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311</w:t>
            </w:r>
          </w:p>
        </w:tc>
      </w:tr>
      <w:tr w:rsidR="0026405B" w:rsidRPr="0026405B" w14:paraId="6175D9D1" w14:textId="77777777" w:rsidTr="007456F3">
        <w:trPr>
          <w:trHeight w:val="288"/>
        </w:trPr>
        <w:tc>
          <w:tcPr>
            <w:tcW w:w="7825" w:type="dxa"/>
            <w:shd w:val="clear" w:color="auto" w:fill="auto"/>
            <w:noWrap/>
            <w:vAlign w:val="bottom"/>
            <w:hideMark/>
          </w:tcPr>
          <w:p w14:paraId="27603679"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GLYBURIDE TAB 5 MG TEVA</w:t>
            </w:r>
          </w:p>
        </w:tc>
        <w:tc>
          <w:tcPr>
            <w:tcW w:w="990" w:type="dxa"/>
            <w:shd w:val="clear" w:color="auto" w:fill="auto"/>
            <w:noWrap/>
            <w:vAlign w:val="bottom"/>
            <w:hideMark/>
          </w:tcPr>
          <w:p w14:paraId="311686C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146</w:t>
            </w:r>
          </w:p>
        </w:tc>
        <w:tc>
          <w:tcPr>
            <w:tcW w:w="1260" w:type="dxa"/>
            <w:shd w:val="clear" w:color="auto" w:fill="auto"/>
            <w:noWrap/>
            <w:vAlign w:val="bottom"/>
            <w:hideMark/>
          </w:tcPr>
          <w:p w14:paraId="483CD9A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183</w:t>
            </w:r>
          </w:p>
        </w:tc>
      </w:tr>
      <w:tr w:rsidR="0026405B" w:rsidRPr="0026405B" w14:paraId="2C63317A" w14:textId="77777777" w:rsidTr="007456F3">
        <w:trPr>
          <w:trHeight w:val="288"/>
        </w:trPr>
        <w:tc>
          <w:tcPr>
            <w:tcW w:w="7825" w:type="dxa"/>
            <w:shd w:val="clear" w:color="auto" w:fill="auto"/>
            <w:noWrap/>
            <w:vAlign w:val="bottom"/>
            <w:hideMark/>
          </w:tcPr>
          <w:p w14:paraId="01320916"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MIGLITOL</w:t>
            </w:r>
          </w:p>
        </w:tc>
        <w:tc>
          <w:tcPr>
            <w:tcW w:w="990" w:type="dxa"/>
            <w:shd w:val="clear" w:color="auto" w:fill="auto"/>
            <w:noWrap/>
            <w:vAlign w:val="bottom"/>
            <w:hideMark/>
          </w:tcPr>
          <w:p w14:paraId="7793428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126</w:t>
            </w:r>
          </w:p>
        </w:tc>
        <w:tc>
          <w:tcPr>
            <w:tcW w:w="1260" w:type="dxa"/>
            <w:shd w:val="clear" w:color="auto" w:fill="auto"/>
            <w:noWrap/>
            <w:vAlign w:val="bottom"/>
            <w:hideMark/>
          </w:tcPr>
          <w:p w14:paraId="676BC4A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15</w:t>
            </w:r>
          </w:p>
        </w:tc>
      </w:tr>
      <w:tr w:rsidR="0026405B" w:rsidRPr="0026405B" w14:paraId="2FD722A5" w14:textId="77777777" w:rsidTr="007456F3">
        <w:trPr>
          <w:trHeight w:val="288"/>
        </w:trPr>
        <w:tc>
          <w:tcPr>
            <w:tcW w:w="7825" w:type="dxa"/>
            <w:shd w:val="clear" w:color="auto" w:fill="auto"/>
            <w:noWrap/>
            <w:vAlign w:val="bottom"/>
            <w:hideMark/>
          </w:tcPr>
          <w:p w14:paraId="746DD8C1"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ISOPHANE &amp; REGULAR (HUMAN) INJ 100 UNIT/ML (70- LILL</w:t>
            </w:r>
          </w:p>
        </w:tc>
        <w:tc>
          <w:tcPr>
            <w:tcW w:w="990" w:type="dxa"/>
            <w:shd w:val="clear" w:color="auto" w:fill="auto"/>
            <w:noWrap/>
            <w:vAlign w:val="bottom"/>
            <w:hideMark/>
          </w:tcPr>
          <w:p w14:paraId="3521503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115</w:t>
            </w:r>
          </w:p>
        </w:tc>
        <w:tc>
          <w:tcPr>
            <w:tcW w:w="1260" w:type="dxa"/>
            <w:shd w:val="clear" w:color="auto" w:fill="auto"/>
            <w:noWrap/>
            <w:vAlign w:val="bottom"/>
            <w:hideMark/>
          </w:tcPr>
          <w:p w14:paraId="5A0FEBD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84</w:t>
            </w:r>
          </w:p>
        </w:tc>
      </w:tr>
      <w:tr w:rsidR="0026405B" w:rsidRPr="0026405B" w14:paraId="1659BDAC" w14:textId="77777777" w:rsidTr="007456F3">
        <w:trPr>
          <w:trHeight w:val="288"/>
        </w:trPr>
        <w:tc>
          <w:tcPr>
            <w:tcW w:w="7825" w:type="dxa"/>
            <w:shd w:val="clear" w:color="auto" w:fill="auto"/>
            <w:noWrap/>
            <w:vAlign w:val="bottom"/>
            <w:hideMark/>
          </w:tcPr>
          <w:p w14:paraId="6B58ECBB"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DETEMIR</w:t>
            </w:r>
          </w:p>
        </w:tc>
        <w:tc>
          <w:tcPr>
            <w:tcW w:w="990" w:type="dxa"/>
            <w:shd w:val="clear" w:color="auto" w:fill="auto"/>
            <w:noWrap/>
            <w:vAlign w:val="bottom"/>
            <w:hideMark/>
          </w:tcPr>
          <w:p w14:paraId="4D7EA52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103</w:t>
            </w:r>
          </w:p>
        </w:tc>
        <w:tc>
          <w:tcPr>
            <w:tcW w:w="1260" w:type="dxa"/>
            <w:shd w:val="clear" w:color="auto" w:fill="auto"/>
            <w:noWrap/>
            <w:vAlign w:val="bottom"/>
            <w:hideMark/>
          </w:tcPr>
          <w:p w14:paraId="0E921C7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46</w:t>
            </w:r>
          </w:p>
        </w:tc>
      </w:tr>
      <w:tr w:rsidR="0026405B" w:rsidRPr="0026405B" w14:paraId="6AC0F1F6" w14:textId="77777777" w:rsidTr="007456F3">
        <w:trPr>
          <w:trHeight w:val="288"/>
        </w:trPr>
        <w:tc>
          <w:tcPr>
            <w:tcW w:w="7825" w:type="dxa"/>
            <w:shd w:val="clear" w:color="auto" w:fill="auto"/>
            <w:noWrap/>
            <w:vAlign w:val="bottom"/>
            <w:hideMark/>
          </w:tcPr>
          <w:p w14:paraId="0BCE1FD1"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NPH ISOPHANE &amp; REGULAR HUMAN INJ 100 UNIT/ML (7 LILL</w:t>
            </w:r>
          </w:p>
        </w:tc>
        <w:tc>
          <w:tcPr>
            <w:tcW w:w="990" w:type="dxa"/>
            <w:shd w:val="clear" w:color="auto" w:fill="auto"/>
            <w:noWrap/>
            <w:vAlign w:val="bottom"/>
            <w:hideMark/>
          </w:tcPr>
          <w:p w14:paraId="7DA74E7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95</w:t>
            </w:r>
          </w:p>
        </w:tc>
        <w:tc>
          <w:tcPr>
            <w:tcW w:w="1260" w:type="dxa"/>
            <w:shd w:val="clear" w:color="auto" w:fill="auto"/>
            <w:noWrap/>
            <w:vAlign w:val="bottom"/>
            <w:hideMark/>
          </w:tcPr>
          <w:p w14:paraId="167A3E9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174</w:t>
            </w:r>
          </w:p>
        </w:tc>
      </w:tr>
      <w:tr w:rsidR="0026405B" w:rsidRPr="0026405B" w14:paraId="05B16E30" w14:textId="77777777" w:rsidTr="007456F3">
        <w:trPr>
          <w:trHeight w:val="288"/>
        </w:trPr>
        <w:tc>
          <w:tcPr>
            <w:tcW w:w="7825" w:type="dxa"/>
            <w:shd w:val="clear" w:color="auto" w:fill="auto"/>
            <w:noWrap/>
            <w:vAlign w:val="bottom"/>
            <w:hideMark/>
          </w:tcPr>
          <w:p w14:paraId="070F5DE9"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LINAGLIPTIN TAB 5 MG BOEH</w:t>
            </w:r>
          </w:p>
        </w:tc>
        <w:tc>
          <w:tcPr>
            <w:tcW w:w="990" w:type="dxa"/>
            <w:shd w:val="clear" w:color="auto" w:fill="auto"/>
            <w:noWrap/>
            <w:vAlign w:val="bottom"/>
            <w:hideMark/>
          </w:tcPr>
          <w:p w14:paraId="73926A9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93</w:t>
            </w:r>
          </w:p>
        </w:tc>
        <w:tc>
          <w:tcPr>
            <w:tcW w:w="1260" w:type="dxa"/>
            <w:shd w:val="clear" w:color="auto" w:fill="auto"/>
            <w:noWrap/>
            <w:vAlign w:val="bottom"/>
            <w:hideMark/>
          </w:tcPr>
          <w:p w14:paraId="530F1BF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455</w:t>
            </w:r>
          </w:p>
        </w:tc>
      </w:tr>
      <w:tr w:rsidR="0026405B" w:rsidRPr="0026405B" w14:paraId="4DBDE875" w14:textId="77777777" w:rsidTr="007456F3">
        <w:trPr>
          <w:trHeight w:val="288"/>
        </w:trPr>
        <w:tc>
          <w:tcPr>
            <w:tcW w:w="7825" w:type="dxa"/>
            <w:shd w:val="clear" w:color="auto" w:fill="auto"/>
            <w:noWrap/>
            <w:vAlign w:val="bottom"/>
            <w:hideMark/>
          </w:tcPr>
          <w:p w14:paraId="02DCE089"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GLIMEPIRIDE</w:t>
            </w:r>
          </w:p>
        </w:tc>
        <w:tc>
          <w:tcPr>
            <w:tcW w:w="990" w:type="dxa"/>
            <w:shd w:val="clear" w:color="auto" w:fill="auto"/>
            <w:noWrap/>
            <w:vAlign w:val="bottom"/>
            <w:hideMark/>
          </w:tcPr>
          <w:p w14:paraId="6E9EAAFA"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71</w:t>
            </w:r>
          </w:p>
        </w:tc>
        <w:tc>
          <w:tcPr>
            <w:tcW w:w="1260" w:type="dxa"/>
            <w:shd w:val="clear" w:color="auto" w:fill="auto"/>
            <w:noWrap/>
            <w:vAlign w:val="bottom"/>
            <w:hideMark/>
          </w:tcPr>
          <w:p w14:paraId="5812366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r>
      <w:tr w:rsidR="0026405B" w:rsidRPr="0026405B" w14:paraId="23B71F7D" w14:textId="77777777" w:rsidTr="007456F3">
        <w:trPr>
          <w:trHeight w:val="288"/>
        </w:trPr>
        <w:tc>
          <w:tcPr>
            <w:tcW w:w="7825" w:type="dxa"/>
            <w:shd w:val="clear" w:color="auto" w:fill="auto"/>
            <w:noWrap/>
            <w:vAlign w:val="bottom"/>
            <w:hideMark/>
          </w:tcPr>
          <w:p w14:paraId="098B9E95"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ASPART PROTAMINE</w:t>
            </w:r>
          </w:p>
        </w:tc>
        <w:tc>
          <w:tcPr>
            <w:tcW w:w="990" w:type="dxa"/>
            <w:shd w:val="clear" w:color="auto" w:fill="auto"/>
            <w:noWrap/>
            <w:vAlign w:val="bottom"/>
            <w:hideMark/>
          </w:tcPr>
          <w:p w14:paraId="4C4F77F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69</w:t>
            </w:r>
          </w:p>
        </w:tc>
        <w:tc>
          <w:tcPr>
            <w:tcW w:w="1260" w:type="dxa"/>
            <w:shd w:val="clear" w:color="auto" w:fill="auto"/>
            <w:noWrap/>
            <w:vAlign w:val="bottom"/>
            <w:hideMark/>
          </w:tcPr>
          <w:p w14:paraId="1FB9532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r>
      <w:tr w:rsidR="0026405B" w:rsidRPr="0026405B" w14:paraId="775941B2" w14:textId="77777777" w:rsidTr="007456F3">
        <w:trPr>
          <w:trHeight w:val="288"/>
        </w:trPr>
        <w:tc>
          <w:tcPr>
            <w:tcW w:w="7825" w:type="dxa"/>
            <w:shd w:val="clear" w:color="auto" w:fill="auto"/>
            <w:noWrap/>
            <w:vAlign w:val="bottom"/>
            <w:hideMark/>
          </w:tcPr>
          <w:p w14:paraId="433FB39C"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LISPRO (HUMAN) SOLN PEN-INJECTOR 100 UNIT/ML LILL</w:t>
            </w:r>
          </w:p>
        </w:tc>
        <w:tc>
          <w:tcPr>
            <w:tcW w:w="990" w:type="dxa"/>
            <w:shd w:val="clear" w:color="auto" w:fill="auto"/>
            <w:noWrap/>
            <w:vAlign w:val="bottom"/>
            <w:hideMark/>
          </w:tcPr>
          <w:p w14:paraId="7DDA402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61</w:t>
            </w:r>
          </w:p>
        </w:tc>
        <w:tc>
          <w:tcPr>
            <w:tcW w:w="1260" w:type="dxa"/>
            <w:shd w:val="clear" w:color="auto" w:fill="auto"/>
            <w:noWrap/>
            <w:vAlign w:val="bottom"/>
            <w:hideMark/>
          </w:tcPr>
          <w:p w14:paraId="38DC529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155</w:t>
            </w:r>
          </w:p>
        </w:tc>
      </w:tr>
      <w:tr w:rsidR="0026405B" w:rsidRPr="0026405B" w14:paraId="6D842F30" w14:textId="77777777" w:rsidTr="007456F3">
        <w:trPr>
          <w:trHeight w:val="288"/>
        </w:trPr>
        <w:tc>
          <w:tcPr>
            <w:tcW w:w="7825" w:type="dxa"/>
            <w:shd w:val="clear" w:color="auto" w:fill="auto"/>
            <w:noWrap/>
            <w:vAlign w:val="bottom"/>
            <w:hideMark/>
          </w:tcPr>
          <w:p w14:paraId="363A3783"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PRAMLINTIDE ACETATE</w:t>
            </w:r>
          </w:p>
        </w:tc>
        <w:tc>
          <w:tcPr>
            <w:tcW w:w="990" w:type="dxa"/>
            <w:shd w:val="clear" w:color="auto" w:fill="auto"/>
            <w:noWrap/>
            <w:vAlign w:val="bottom"/>
            <w:hideMark/>
          </w:tcPr>
          <w:p w14:paraId="72705B2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45</w:t>
            </w:r>
          </w:p>
        </w:tc>
        <w:tc>
          <w:tcPr>
            <w:tcW w:w="1260" w:type="dxa"/>
            <w:shd w:val="clear" w:color="auto" w:fill="auto"/>
            <w:noWrap/>
            <w:vAlign w:val="bottom"/>
            <w:hideMark/>
          </w:tcPr>
          <w:p w14:paraId="5B65DAB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507B5A49" w14:textId="77777777" w:rsidTr="007456F3">
        <w:trPr>
          <w:trHeight w:val="288"/>
        </w:trPr>
        <w:tc>
          <w:tcPr>
            <w:tcW w:w="7825" w:type="dxa"/>
            <w:shd w:val="clear" w:color="auto" w:fill="auto"/>
            <w:noWrap/>
            <w:vAlign w:val="bottom"/>
            <w:hideMark/>
          </w:tcPr>
          <w:p w14:paraId="031331B0"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TOLAZAMIDE</w:t>
            </w:r>
          </w:p>
        </w:tc>
        <w:tc>
          <w:tcPr>
            <w:tcW w:w="990" w:type="dxa"/>
            <w:shd w:val="clear" w:color="auto" w:fill="auto"/>
            <w:noWrap/>
            <w:vAlign w:val="bottom"/>
            <w:hideMark/>
          </w:tcPr>
          <w:p w14:paraId="1265DA1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44</w:t>
            </w:r>
          </w:p>
        </w:tc>
        <w:tc>
          <w:tcPr>
            <w:tcW w:w="1260" w:type="dxa"/>
            <w:shd w:val="clear" w:color="auto" w:fill="auto"/>
            <w:noWrap/>
            <w:vAlign w:val="bottom"/>
            <w:hideMark/>
          </w:tcPr>
          <w:p w14:paraId="686D9F0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w:t>
            </w:r>
          </w:p>
        </w:tc>
      </w:tr>
      <w:tr w:rsidR="0026405B" w:rsidRPr="0026405B" w14:paraId="5D414BE7" w14:textId="77777777" w:rsidTr="007456F3">
        <w:trPr>
          <w:trHeight w:val="288"/>
        </w:trPr>
        <w:tc>
          <w:tcPr>
            <w:tcW w:w="7825" w:type="dxa"/>
            <w:shd w:val="clear" w:color="auto" w:fill="auto"/>
            <w:noWrap/>
            <w:vAlign w:val="bottom"/>
            <w:hideMark/>
          </w:tcPr>
          <w:p w14:paraId="274394F0"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GLUCAGON (RDNA) FOR INJ KIT 1 MG LILL</w:t>
            </w:r>
          </w:p>
        </w:tc>
        <w:tc>
          <w:tcPr>
            <w:tcW w:w="990" w:type="dxa"/>
            <w:shd w:val="clear" w:color="auto" w:fill="auto"/>
            <w:noWrap/>
            <w:vAlign w:val="bottom"/>
            <w:hideMark/>
          </w:tcPr>
          <w:p w14:paraId="66B57CA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33</w:t>
            </w:r>
          </w:p>
        </w:tc>
        <w:tc>
          <w:tcPr>
            <w:tcW w:w="1260" w:type="dxa"/>
            <w:shd w:val="clear" w:color="auto" w:fill="auto"/>
            <w:noWrap/>
            <w:vAlign w:val="bottom"/>
            <w:hideMark/>
          </w:tcPr>
          <w:p w14:paraId="5B7CC93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192</w:t>
            </w:r>
          </w:p>
        </w:tc>
      </w:tr>
      <w:tr w:rsidR="0026405B" w:rsidRPr="0026405B" w14:paraId="7BEF53CD" w14:textId="77777777" w:rsidTr="007456F3">
        <w:trPr>
          <w:trHeight w:val="288"/>
        </w:trPr>
        <w:tc>
          <w:tcPr>
            <w:tcW w:w="7825" w:type="dxa"/>
            <w:shd w:val="clear" w:color="auto" w:fill="auto"/>
            <w:noWrap/>
            <w:vAlign w:val="bottom"/>
            <w:hideMark/>
          </w:tcPr>
          <w:p w14:paraId="2D09CAD7"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GLUCAGON HCL (RDNA)</w:t>
            </w:r>
          </w:p>
        </w:tc>
        <w:tc>
          <w:tcPr>
            <w:tcW w:w="990" w:type="dxa"/>
            <w:shd w:val="clear" w:color="auto" w:fill="auto"/>
            <w:noWrap/>
            <w:vAlign w:val="bottom"/>
            <w:hideMark/>
          </w:tcPr>
          <w:p w14:paraId="6BB75F7D"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29</w:t>
            </w:r>
          </w:p>
        </w:tc>
        <w:tc>
          <w:tcPr>
            <w:tcW w:w="1260" w:type="dxa"/>
            <w:shd w:val="clear" w:color="auto" w:fill="auto"/>
            <w:noWrap/>
            <w:vAlign w:val="bottom"/>
            <w:hideMark/>
          </w:tcPr>
          <w:p w14:paraId="74D71FE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34</w:t>
            </w:r>
          </w:p>
        </w:tc>
      </w:tr>
      <w:tr w:rsidR="0026405B" w:rsidRPr="0026405B" w14:paraId="0ABEA22D" w14:textId="77777777" w:rsidTr="007456F3">
        <w:trPr>
          <w:trHeight w:val="288"/>
        </w:trPr>
        <w:tc>
          <w:tcPr>
            <w:tcW w:w="7825" w:type="dxa"/>
            <w:shd w:val="clear" w:color="auto" w:fill="auto"/>
            <w:noWrap/>
            <w:vAlign w:val="bottom"/>
            <w:hideMark/>
          </w:tcPr>
          <w:p w14:paraId="276EE7EB"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w:t>
            </w:r>
          </w:p>
        </w:tc>
        <w:tc>
          <w:tcPr>
            <w:tcW w:w="990" w:type="dxa"/>
            <w:shd w:val="clear" w:color="auto" w:fill="auto"/>
            <w:noWrap/>
            <w:vAlign w:val="bottom"/>
            <w:hideMark/>
          </w:tcPr>
          <w:p w14:paraId="64C3F35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29</w:t>
            </w:r>
          </w:p>
        </w:tc>
        <w:tc>
          <w:tcPr>
            <w:tcW w:w="1260" w:type="dxa"/>
            <w:shd w:val="clear" w:color="auto" w:fill="auto"/>
            <w:noWrap/>
            <w:vAlign w:val="bottom"/>
            <w:hideMark/>
          </w:tcPr>
          <w:p w14:paraId="4C5C448D"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8</w:t>
            </w:r>
          </w:p>
        </w:tc>
      </w:tr>
      <w:tr w:rsidR="0026405B" w:rsidRPr="0026405B" w14:paraId="145FF74C" w14:textId="77777777" w:rsidTr="007456F3">
        <w:trPr>
          <w:trHeight w:val="288"/>
        </w:trPr>
        <w:tc>
          <w:tcPr>
            <w:tcW w:w="7825" w:type="dxa"/>
            <w:shd w:val="clear" w:color="auto" w:fill="auto"/>
            <w:noWrap/>
            <w:vAlign w:val="bottom"/>
            <w:hideMark/>
          </w:tcPr>
          <w:p w14:paraId="4E6060BA"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GLARGINE SOLN PEN-INJECTOR 100 UNIT/ML SANO</w:t>
            </w:r>
          </w:p>
        </w:tc>
        <w:tc>
          <w:tcPr>
            <w:tcW w:w="990" w:type="dxa"/>
            <w:shd w:val="clear" w:color="auto" w:fill="auto"/>
            <w:noWrap/>
            <w:vAlign w:val="bottom"/>
            <w:hideMark/>
          </w:tcPr>
          <w:p w14:paraId="626BAB3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28</w:t>
            </w:r>
          </w:p>
        </w:tc>
        <w:tc>
          <w:tcPr>
            <w:tcW w:w="1260" w:type="dxa"/>
            <w:shd w:val="clear" w:color="auto" w:fill="auto"/>
            <w:noWrap/>
            <w:vAlign w:val="bottom"/>
            <w:hideMark/>
          </w:tcPr>
          <w:p w14:paraId="5795440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77</w:t>
            </w:r>
          </w:p>
        </w:tc>
      </w:tr>
      <w:tr w:rsidR="0026405B" w:rsidRPr="0026405B" w14:paraId="01D1F844" w14:textId="77777777" w:rsidTr="007456F3">
        <w:trPr>
          <w:trHeight w:val="288"/>
        </w:trPr>
        <w:tc>
          <w:tcPr>
            <w:tcW w:w="7825" w:type="dxa"/>
            <w:shd w:val="clear" w:color="auto" w:fill="auto"/>
            <w:noWrap/>
            <w:vAlign w:val="bottom"/>
            <w:hideMark/>
          </w:tcPr>
          <w:p w14:paraId="409ED2E9"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NPH (HUMAN) (ISOPHANE) SUSP PEN-INJECTOR 100 UN LILL</w:t>
            </w:r>
          </w:p>
        </w:tc>
        <w:tc>
          <w:tcPr>
            <w:tcW w:w="990" w:type="dxa"/>
            <w:shd w:val="clear" w:color="auto" w:fill="auto"/>
            <w:noWrap/>
            <w:vAlign w:val="bottom"/>
            <w:hideMark/>
          </w:tcPr>
          <w:p w14:paraId="280E063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25</w:t>
            </w:r>
          </w:p>
        </w:tc>
        <w:tc>
          <w:tcPr>
            <w:tcW w:w="1260" w:type="dxa"/>
            <w:shd w:val="clear" w:color="auto" w:fill="auto"/>
            <w:noWrap/>
            <w:vAlign w:val="bottom"/>
            <w:hideMark/>
          </w:tcPr>
          <w:p w14:paraId="3D124AF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357</w:t>
            </w:r>
          </w:p>
        </w:tc>
      </w:tr>
      <w:tr w:rsidR="0026405B" w:rsidRPr="0026405B" w14:paraId="77EB19A9" w14:textId="77777777" w:rsidTr="007456F3">
        <w:trPr>
          <w:trHeight w:val="288"/>
        </w:trPr>
        <w:tc>
          <w:tcPr>
            <w:tcW w:w="7825" w:type="dxa"/>
            <w:shd w:val="clear" w:color="auto" w:fill="auto"/>
            <w:noWrap/>
            <w:vAlign w:val="bottom"/>
            <w:hideMark/>
          </w:tcPr>
          <w:p w14:paraId="6F2DEDB7"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GLIPIZIDE-METFORMIN HCL TAB 2.5-500 MG TEVA</w:t>
            </w:r>
          </w:p>
        </w:tc>
        <w:tc>
          <w:tcPr>
            <w:tcW w:w="990" w:type="dxa"/>
            <w:shd w:val="clear" w:color="auto" w:fill="auto"/>
            <w:noWrap/>
            <w:vAlign w:val="bottom"/>
            <w:hideMark/>
          </w:tcPr>
          <w:p w14:paraId="50057B5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25</w:t>
            </w:r>
          </w:p>
        </w:tc>
        <w:tc>
          <w:tcPr>
            <w:tcW w:w="1260" w:type="dxa"/>
            <w:shd w:val="clear" w:color="auto" w:fill="auto"/>
            <w:noWrap/>
            <w:vAlign w:val="bottom"/>
            <w:hideMark/>
          </w:tcPr>
          <w:p w14:paraId="7D59C51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48</w:t>
            </w:r>
          </w:p>
        </w:tc>
      </w:tr>
      <w:tr w:rsidR="0026405B" w:rsidRPr="0026405B" w14:paraId="4F37F798" w14:textId="77777777" w:rsidTr="007456F3">
        <w:trPr>
          <w:trHeight w:val="288"/>
        </w:trPr>
        <w:tc>
          <w:tcPr>
            <w:tcW w:w="7825" w:type="dxa"/>
            <w:shd w:val="clear" w:color="auto" w:fill="auto"/>
            <w:noWrap/>
            <w:vAlign w:val="bottom"/>
            <w:hideMark/>
          </w:tcPr>
          <w:p w14:paraId="1144509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SR 24HR 10 MG GREE</w:t>
            </w:r>
          </w:p>
        </w:tc>
        <w:tc>
          <w:tcPr>
            <w:tcW w:w="990" w:type="dxa"/>
            <w:shd w:val="clear" w:color="auto" w:fill="auto"/>
            <w:noWrap/>
            <w:vAlign w:val="bottom"/>
            <w:hideMark/>
          </w:tcPr>
          <w:p w14:paraId="04D5B0B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25</w:t>
            </w:r>
          </w:p>
        </w:tc>
        <w:tc>
          <w:tcPr>
            <w:tcW w:w="1260" w:type="dxa"/>
            <w:shd w:val="clear" w:color="auto" w:fill="auto"/>
            <w:noWrap/>
            <w:vAlign w:val="bottom"/>
            <w:hideMark/>
          </w:tcPr>
          <w:p w14:paraId="14E924DD"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25</w:t>
            </w:r>
          </w:p>
        </w:tc>
      </w:tr>
      <w:tr w:rsidR="0026405B" w:rsidRPr="0026405B" w14:paraId="55D091B8" w14:textId="77777777" w:rsidTr="007456F3">
        <w:trPr>
          <w:trHeight w:val="288"/>
        </w:trPr>
        <w:tc>
          <w:tcPr>
            <w:tcW w:w="7825" w:type="dxa"/>
            <w:shd w:val="clear" w:color="auto" w:fill="auto"/>
            <w:noWrap/>
            <w:vAlign w:val="bottom"/>
            <w:hideMark/>
          </w:tcPr>
          <w:p w14:paraId="31225CBC"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GLUCAGON (RDNA)</w:t>
            </w:r>
          </w:p>
        </w:tc>
        <w:tc>
          <w:tcPr>
            <w:tcW w:w="990" w:type="dxa"/>
            <w:shd w:val="clear" w:color="auto" w:fill="auto"/>
            <w:noWrap/>
            <w:vAlign w:val="bottom"/>
            <w:hideMark/>
          </w:tcPr>
          <w:p w14:paraId="0E4C5BF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24</w:t>
            </w:r>
          </w:p>
        </w:tc>
        <w:tc>
          <w:tcPr>
            <w:tcW w:w="1260" w:type="dxa"/>
            <w:shd w:val="clear" w:color="auto" w:fill="auto"/>
            <w:noWrap/>
            <w:vAlign w:val="bottom"/>
            <w:hideMark/>
          </w:tcPr>
          <w:p w14:paraId="2270A0A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17</w:t>
            </w:r>
          </w:p>
        </w:tc>
      </w:tr>
      <w:tr w:rsidR="0026405B" w:rsidRPr="0026405B" w14:paraId="0E376FF3" w14:textId="77777777" w:rsidTr="007456F3">
        <w:trPr>
          <w:trHeight w:val="288"/>
        </w:trPr>
        <w:tc>
          <w:tcPr>
            <w:tcW w:w="7825" w:type="dxa"/>
            <w:shd w:val="clear" w:color="auto" w:fill="auto"/>
            <w:noWrap/>
            <w:vAlign w:val="bottom"/>
            <w:hideMark/>
          </w:tcPr>
          <w:p w14:paraId="3D73124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ISOPHANE (HUMAN) INJ 100 UNIT/M NOVO</w:t>
            </w:r>
          </w:p>
        </w:tc>
        <w:tc>
          <w:tcPr>
            <w:tcW w:w="990" w:type="dxa"/>
            <w:shd w:val="clear" w:color="auto" w:fill="auto"/>
            <w:noWrap/>
            <w:vAlign w:val="bottom"/>
            <w:hideMark/>
          </w:tcPr>
          <w:p w14:paraId="02908D0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23</w:t>
            </w:r>
          </w:p>
        </w:tc>
        <w:tc>
          <w:tcPr>
            <w:tcW w:w="1260" w:type="dxa"/>
            <w:shd w:val="clear" w:color="auto" w:fill="auto"/>
            <w:noWrap/>
            <w:vAlign w:val="bottom"/>
            <w:hideMark/>
          </w:tcPr>
          <w:p w14:paraId="7E7FF71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12</w:t>
            </w:r>
          </w:p>
        </w:tc>
      </w:tr>
      <w:tr w:rsidR="0026405B" w:rsidRPr="0026405B" w14:paraId="3548585E" w14:textId="77777777" w:rsidTr="007456F3">
        <w:trPr>
          <w:trHeight w:val="288"/>
        </w:trPr>
        <w:tc>
          <w:tcPr>
            <w:tcW w:w="7825" w:type="dxa"/>
            <w:shd w:val="clear" w:color="auto" w:fill="auto"/>
            <w:noWrap/>
            <w:vAlign w:val="bottom"/>
            <w:hideMark/>
          </w:tcPr>
          <w:p w14:paraId="7FCE7D0A"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GLYBURIDE TAB 2.5 MG TEVA</w:t>
            </w:r>
          </w:p>
        </w:tc>
        <w:tc>
          <w:tcPr>
            <w:tcW w:w="990" w:type="dxa"/>
            <w:shd w:val="clear" w:color="auto" w:fill="auto"/>
            <w:noWrap/>
            <w:vAlign w:val="bottom"/>
            <w:hideMark/>
          </w:tcPr>
          <w:p w14:paraId="2F9FD89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22</w:t>
            </w:r>
          </w:p>
        </w:tc>
        <w:tc>
          <w:tcPr>
            <w:tcW w:w="1260" w:type="dxa"/>
            <w:shd w:val="clear" w:color="auto" w:fill="auto"/>
            <w:noWrap/>
            <w:vAlign w:val="bottom"/>
            <w:hideMark/>
          </w:tcPr>
          <w:p w14:paraId="224467A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37</w:t>
            </w:r>
          </w:p>
        </w:tc>
      </w:tr>
      <w:tr w:rsidR="0026405B" w:rsidRPr="0026405B" w14:paraId="7B024970" w14:textId="77777777" w:rsidTr="007456F3">
        <w:trPr>
          <w:trHeight w:val="288"/>
        </w:trPr>
        <w:tc>
          <w:tcPr>
            <w:tcW w:w="7825" w:type="dxa"/>
            <w:shd w:val="clear" w:color="auto" w:fill="auto"/>
            <w:noWrap/>
            <w:vAlign w:val="bottom"/>
            <w:hideMark/>
          </w:tcPr>
          <w:p w14:paraId="3372CF90"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SITAGLIPTIN PHOSPHATE TAB 100 MG (BASE EQUIV) MERC</w:t>
            </w:r>
          </w:p>
        </w:tc>
        <w:tc>
          <w:tcPr>
            <w:tcW w:w="990" w:type="dxa"/>
            <w:shd w:val="clear" w:color="auto" w:fill="auto"/>
            <w:noWrap/>
            <w:vAlign w:val="bottom"/>
            <w:hideMark/>
          </w:tcPr>
          <w:p w14:paraId="569190B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22</w:t>
            </w:r>
          </w:p>
        </w:tc>
        <w:tc>
          <w:tcPr>
            <w:tcW w:w="1260" w:type="dxa"/>
            <w:shd w:val="clear" w:color="auto" w:fill="auto"/>
            <w:noWrap/>
            <w:vAlign w:val="bottom"/>
            <w:hideMark/>
          </w:tcPr>
          <w:p w14:paraId="296AA32A"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r>
      <w:tr w:rsidR="0026405B" w:rsidRPr="0026405B" w14:paraId="63C47D1E" w14:textId="77777777" w:rsidTr="007456F3">
        <w:trPr>
          <w:trHeight w:val="288"/>
        </w:trPr>
        <w:tc>
          <w:tcPr>
            <w:tcW w:w="7825" w:type="dxa"/>
            <w:shd w:val="clear" w:color="auto" w:fill="auto"/>
            <w:noWrap/>
            <w:vAlign w:val="bottom"/>
            <w:hideMark/>
          </w:tcPr>
          <w:p w14:paraId="21C83CF5"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GLIMEPIRIDE TAB 4 MG TEVA</w:t>
            </w:r>
          </w:p>
        </w:tc>
        <w:tc>
          <w:tcPr>
            <w:tcW w:w="990" w:type="dxa"/>
            <w:shd w:val="clear" w:color="auto" w:fill="auto"/>
            <w:noWrap/>
            <w:vAlign w:val="bottom"/>
            <w:hideMark/>
          </w:tcPr>
          <w:p w14:paraId="19D752C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18</w:t>
            </w:r>
          </w:p>
        </w:tc>
        <w:tc>
          <w:tcPr>
            <w:tcW w:w="1260" w:type="dxa"/>
            <w:shd w:val="clear" w:color="auto" w:fill="auto"/>
            <w:noWrap/>
            <w:vAlign w:val="bottom"/>
            <w:hideMark/>
          </w:tcPr>
          <w:p w14:paraId="74906D7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16</w:t>
            </w:r>
          </w:p>
        </w:tc>
      </w:tr>
      <w:tr w:rsidR="0026405B" w:rsidRPr="0026405B" w14:paraId="1FF254D9" w14:textId="77777777" w:rsidTr="007456F3">
        <w:trPr>
          <w:trHeight w:val="288"/>
        </w:trPr>
        <w:tc>
          <w:tcPr>
            <w:tcW w:w="7825" w:type="dxa"/>
            <w:shd w:val="clear" w:color="auto" w:fill="auto"/>
            <w:noWrap/>
            <w:vAlign w:val="bottom"/>
            <w:hideMark/>
          </w:tcPr>
          <w:p w14:paraId="0400D0BA"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lastRenderedPageBreak/>
              <w:t>INSULIN GLARGINE INJ 100 UNIT/M SANO</w:t>
            </w:r>
          </w:p>
        </w:tc>
        <w:tc>
          <w:tcPr>
            <w:tcW w:w="990" w:type="dxa"/>
            <w:shd w:val="clear" w:color="auto" w:fill="auto"/>
            <w:noWrap/>
            <w:vAlign w:val="bottom"/>
            <w:hideMark/>
          </w:tcPr>
          <w:p w14:paraId="2E54277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17</w:t>
            </w:r>
          </w:p>
        </w:tc>
        <w:tc>
          <w:tcPr>
            <w:tcW w:w="1260" w:type="dxa"/>
            <w:shd w:val="clear" w:color="auto" w:fill="auto"/>
            <w:noWrap/>
            <w:vAlign w:val="bottom"/>
            <w:hideMark/>
          </w:tcPr>
          <w:p w14:paraId="6D7AED6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22</w:t>
            </w:r>
          </w:p>
        </w:tc>
      </w:tr>
      <w:tr w:rsidR="0026405B" w:rsidRPr="0026405B" w14:paraId="31887D88" w14:textId="77777777" w:rsidTr="007456F3">
        <w:trPr>
          <w:trHeight w:val="288"/>
        </w:trPr>
        <w:tc>
          <w:tcPr>
            <w:tcW w:w="7825" w:type="dxa"/>
            <w:shd w:val="clear" w:color="auto" w:fill="auto"/>
            <w:noWrap/>
            <w:vAlign w:val="bottom"/>
            <w:hideMark/>
          </w:tcPr>
          <w:p w14:paraId="2EADC6CD"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5 MG MYLA</w:t>
            </w:r>
          </w:p>
        </w:tc>
        <w:tc>
          <w:tcPr>
            <w:tcW w:w="990" w:type="dxa"/>
            <w:shd w:val="clear" w:color="auto" w:fill="auto"/>
            <w:noWrap/>
            <w:vAlign w:val="bottom"/>
            <w:hideMark/>
          </w:tcPr>
          <w:p w14:paraId="5BB0624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16</w:t>
            </w:r>
          </w:p>
        </w:tc>
        <w:tc>
          <w:tcPr>
            <w:tcW w:w="1260" w:type="dxa"/>
            <w:shd w:val="clear" w:color="auto" w:fill="auto"/>
            <w:noWrap/>
            <w:vAlign w:val="bottom"/>
            <w:hideMark/>
          </w:tcPr>
          <w:p w14:paraId="18B6A29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25</w:t>
            </w:r>
          </w:p>
        </w:tc>
      </w:tr>
      <w:tr w:rsidR="0026405B" w:rsidRPr="0026405B" w14:paraId="265F921F" w14:textId="77777777" w:rsidTr="007456F3">
        <w:trPr>
          <w:trHeight w:val="288"/>
        </w:trPr>
        <w:tc>
          <w:tcPr>
            <w:tcW w:w="7825" w:type="dxa"/>
            <w:shd w:val="clear" w:color="auto" w:fill="auto"/>
            <w:noWrap/>
            <w:vAlign w:val="bottom"/>
            <w:hideMark/>
          </w:tcPr>
          <w:p w14:paraId="5C449BDA"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GLYBURIDE-METFORMIN</w:t>
            </w:r>
          </w:p>
        </w:tc>
        <w:tc>
          <w:tcPr>
            <w:tcW w:w="990" w:type="dxa"/>
            <w:shd w:val="clear" w:color="auto" w:fill="auto"/>
            <w:noWrap/>
            <w:vAlign w:val="bottom"/>
            <w:hideMark/>
          </w:tcPr>
          <w:p w14:paraId="4F1BE50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15</w:t>
            </w:r>
          </w:p>
        </w:tc>
        <w:tc>
          <w:tcPr>
            <w:tcW w:w="1260" w:type="dxa"/>
            <w:shd w:val="clear" w:color="auto" w:fill="auto"/>
            <w:noWrap/>
            <w:vAlign w:val="bottom"/>
            <w:hideMark/>
          </w:tcPr>
          <w:p w14:paraId="7C2EB19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79E5702F" w14:textId="77777777" w:rsidTr="007456F3">
        <w:trPr>
          <w:trHeight w:val="288"/>
        </w:trPr>
        <w:tc>
          <w:tcPr>
            <w:tcW w:w="7825" w:type="dxa"/>
            <w:shd w:val="clear" w:color="auto" w:fill="auto"/>
            <w:noWrap/>
            <w:vAlign w:val="bottom"/>
            <w:hideMark/>
          </w:tcPr>
          <w:p w14:paraId="3B7585CE"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EMPAGLIFLOZIN TAB 25 MG BOEH</w:t>
            </w:r>
          </w:p>
        </w:tc>
        <w:tc>
          <w:tcPr>
            <w:tcW w:w="990" w:type="dxa"/>
            <w:shd w:val="clear" w:color="auto" w:fill="auto"/>
            <w:noWrap/>
            <w:vAlign w:val="bottom"/>
            <w:hideMark/>
          </w:tcPr>
          <w:p w14:paraId="269B01C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15</w:t>
            </w:r>
          </w:p>
        </w:tc>
        <w:tc>
          <w:tcPr>
            <w:tcW w:w="1260" w:type="dxa"/>
            <w:shd w:val="clear" w:color="auto" w:fill="auto"/>
            <w:noWrap/>
            <w:vAlign w:val="bottom"/>
            <w:hideMark/>
          </w:tcPr>
          <w:p w14:paraId="23A1311A"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147</w:t>
            </w:r>
          </w:p>
        </w:tc>
      </w:tr>
      <w:tr w:rsidR="0026405B" w:rsidRPr="0026405B" w14:paraId="3E7B03AF" w14:textId="77777777" w:rsidTr="007456F3">
        <w:trPr>
          <w:trHeight w:val="288"/>
        </w:trPr>
        <w:tc>
          <w:tcPr>
            <w:tcW w:w="7825" w:type="dxa"/>
            <w:shd w:val="clear" w:color="auto" w:fill="auto"/>
            <w:noWrap/>
            <w:vAlign w:val="bottom"/>
            <w:hideMark/>
          </w:tcPr>
          <w:p w14:paraId="720DAEB0"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10 MG MYLA</w:t>
            </w:r>
          </w:p>
        </w:tc>
        <w:tc>
          <w:tcPr>
            <w:tcW w:w="990" w:type="dxa"/>
            <w:shd w:val="clear" w:color="auto" w:fill="auto"/>
            <w:noWrap/>
            <w:vAlign w:val="bottom"/>
            <w:hideMark/>
          </w:tcPr>
          <w:p w14:paraId="11F37A4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15</w:t>
            </w:r>
          </w:p>
        </w:tc>
        <w:tc>
          <w:tcPr>
            <w:tcW w:w="1260" w:type="dxa"/>
            <w:shd w:val="clear" w:color="auto" w:fill="auto"/>
            <w:noWrap/>
            <w:vAlign w:val="bottom"/>
            <w:hideMark/>
          </w:tcPr>
          <w:p w14:paraId="44A664E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6</w:t>
            </w:r>
          </w:p>
        </w:tc>
      </w:tr>
      <w:tr w:rsidR="0026405B" w:rsidRPr="0026405B" w14:paraId="758CFB35" w14:textId="77777777" w:rsidTr="007456F3">
        <w:trPr>
          <w:trHeight w:val="288"/>
        </w:trPr>
        <w:tc>
          <w:tcPr>
            <w:tcW w:w="7825" w:type="dxa"/>
            <w:shd w:val="clear" w:color="auto" w:fill="auto"/>
            <w:noWrap/>
            <w:vAlign w:val="bottom"/>
            <w:hideMark/>
          </w:tcPr>
          <w:p w14:paraId="104928C5"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GLIPIZIDE-METFORMIN HCL TAB 5-500 MG WATS</w:t>
            </w:r>
          </w:p>
        </w:tc>
        <w:tc>
          <w:tcPr>
            <w:tcW w:w="990" w:type="dxa"/>
            <w:shd w:val="clear" w:color="auto" w:fill="auto"/>
            <w:noWrap/>
            <w:vAlign w:val="bottom"/>
            <w:hideMark/>
          </w:tcPr>
          <w:p w14:paraId="61ADB90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13</w:t>
            </w:r>
          </w:p>
        </w:tc>
        <w:tc>
          <w:tcPr>
            <w:tcW w:w="1260" w:type="dxa"/>
            <w:shd w:val="clear" w:color="auto" w:fill="auto"/>
            <w:noWrap/>
            <w:vAlign w:val="bottom"/>
            <w:hideMark/>
          </w:tcPr>
          <w:p w14:paraId="60A0028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w:t>
            </w:r>
          </w:p>
        </w:tc>
      </w:tr>
      <w:tr w:rsidR="0026405B" w:rsidRPr="0026405B" w14:paraId="6DF4EBAE" w14:textId="77777777" w:rsidTr="007456F3">
        <w:trPr>
          <w:trHeight w:val="288"/>
        </w:trPr>
        <w:tc>
          <w:tcPr>
            <w:tcW w:w="7825" w:type="dxa"/>
            <w:shd w:val="clear" w:color="auto" w:fill="auto"/>
            <w:noWrap/>
            <w:vAlign w:val="bottom"/>
            <w:hideMark/>
          </w:tcPr>
          <w:p w14:paraId="3C8E131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LISPRO (HUMAN) INJ 100 UNIT/M LILL</w:t>
            </w:r>
          </w:p>
        </w:tc>
        <w:tc>
          <w:tcPr>
            <w:tcW w:w="990" w:type="dxa"/>
            <w:shd w:val="clear" w:color="auto" w:fill="auto"/>
            <w:noWrap/>
            <w:vAlign w:val="bottom"/>
            <w:hideMark/>
          </w:tcPr>
          <w:p w14:paraId="3180514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12</w:t>
            </w:r>
          </w:p>
        </w:tc>
        <w:tc>
          <w:tcPr>
            <w:tcW w:w="1260" w:type="dxa"/>
            <w:shd w:val="clear" w:color="auto" w:fill="auto"/>
            <w:noWrap/>
            <w:vAlign w:val="bottom"/>
            <w:hideMark/>
          </w:tcPr>
          <w:p w14:paraId="22BAA91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12</w:t>
            </w:r>
          </w:p>
        </w:tc>
      </w:tr>
      <w:tr w:rsidR="0026405B" w:rsidRPr="0026405B" w14:paraId="4BD849A0" w14:textId="77777777" w:rsidTr="007456F3">
        <w:trPr>
          <w:trHeight w:val="288"/>
        </w:trPr>
        <w:tc>
          <w:tcPr>
            <w:tcW w:w="7825" w:type="dxa"/>
            <w:shd w:val="clear" w:color="auto" w:fill="auto"/>
            <w:noWrap/>
            <w:vAlign w:val="bottom"/>
            <w:hideMark/>
          </w:tcPr>
          <w:p w14:paraId="680271BD"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GLIPIZIDE-METFORMIN HCL TAB 2.5-250 MG TEVA</w:t>
            </w:r>
          </w:p>
        </w:tc>
        <w:tc>
          <w:tcPr>
            <w:tcW w:w="990" w:type="dxa"/>
            <w:shd w:val="clear" w:color="auto" w:fill="auto"/>
            <w:noWrap/>
            <w:vAlign w:val="bottom"/>
            <w:hideMark/>
          </w:tcPr>
          <w:p w14:paraId="40D23F7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11</w:t>
            </w:r>
          </w:p>
        </w:tc>
        <w:tc>
          <w:tcPr>
            <w:tcW w:w="1260" w:type="dxa"/>
            <w:shd w:val="clear" w:color="auto" w:fill="auto"/>
            <w:noWrap/>
            <w:vAlign w:val="bottom"/>
            <w:hideMark/>
          </w:tcPr>
          <w:p w14:paraId="5CDAAAD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30</w:t>
            </w:r>
          </w:p>
        </w:tc>
      </w:tr>
      <w:tr w:rsidR="0026405B" w:rsidRPr="0026405B" w14:paraId="250EB21B" w14:textId="77777777" w:rsidTr="007456F3">
        <w:trPr>
          <w:trHeight w:val="288"/>
        </w:trPr>
        <w:tc>
          <w:tcPr>
            <w:tcW w:w="7825" w:type="dxa"/>
            <w:shd w:val="clear" w:color="auto" w:fill="auto"/>
            <w:noWrap/>
            <w:vAlign w:val="bottom"/>
            <w:hideMark/>
          </w:tcPr>
          <w:p w14:paraId="438D6B52"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GLULISINE</w:t>
            </w:r>
          </w:p>
        </w:tc>
        <w:tc>
          <w:tcPr>
            <w:tcW w:w="990" w:type="dxa"/>
            <w:shd w:val="clear" w:color="auto" w:fill="auto"/>
            <w:noWrap/>
            <w:vAlign w:val="bottom"/>
            <w:hideMark/>
          </w:tcPr>
          <w:p w14:paraId="235B0DB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10</w:t>
            </w:r>
          </w:p>
        </w:tc>
        <w:tc>
          <w:tcPr>
            <w:tcW w:w="1260" w:type="dxa"/>
            <w:shd w:val="clear" w:color="auto" w:fill="auto"/>
            <w:noWrap/>
            <w:vAlign w:val="bottom"/>
            <w:hideMark/>
          </w:tcPr>
          <w:p w14:paraId="772A190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66C98107" w14:textId="77777777" w:rsidTr="007456F3">
        <w:trPr>
          <w:trHeight w:val="288"/>
        </w:trPr>
        <w:tc>
          <w:tcPr>
            <w:tcW w:w="7825" w:type="dxa"/>
            <w:shd w:val="clear" w:color="auto" w:fill="auto"/>
            <w:noWrap/>
            <w:vAlign w:val="bottom"/>
            <w:hideMark/>
          </w:tcPr>
          <w:p w14:paraId="3FD36ED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ISOPHANE (HUMAN) SUSP PEN-INJECTOR 100 UNIT/ML LILL</w:t>
            </w:r>
          </w:p>
        </w:tc>
        <w:tc>
          <w:tcPr>
            <w:tcW w:w="990" w:type="dxa"/>
            <w:shd w:val="clear" w:color="auto" w:fill="auto"/>
            <w:noWrap/>
            <w:vAlign w:val="bottom"/>
            <w:hideMark/>
          </w:tcPr>
          <w:p w14:paraId="2D4F9D9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10</w:t>
            </w:r>
          </w:p>
        </w:tc>
        <w:tc>
          <w:tcPr>
            <w:tcW w:w="1260" w:type="dxa"/>
            <w:shd w:val="clear" w:color="auto" w:fill="auto"/>
            <w:noWrap/>
            <w:vAlign w:val="bottom"/>
            <w:hideMark/>
          </w:tcPr>
          <w:p w14:paraId="625EB81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20</w:t>
            </w:r>
          </w:p>
        </w:tc>
      </w:tr>
      <w:tr w:rsidR="0026405B" w:rsidRPr="0026405B" w14:paraId="5BCD53B4" w14:textId="77777777" w:rsidTr="007456F3">
        <w:trPr>
          <w:trHeight w:val="288"/>
        </w:trPr>
        <w:tc>
          <w:tcPr>
            <w:tcW w:w="7825" w:type="dxa"/>
            <w:shd w:val="clear" w:color="auto" w:fill="auto"/>
            <w:noWrap/>
            <w:vAlign w:val="bottom"/>
            <w:hideMark/>
          </w:tcPr>
          <w:p w14:paraId="5B67E39A"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ASPART INJ 100 UNIT/M NOVO</w:t>
            </w:r>
          </w:p>
        </w:tc>
        <w:tc>
          <w:tcPr>
            <w:tcW w:w="990" w:type="dxa"/>
            <w:shd w:val="clear" w:color="auto" w:fill="auto"/>
            <w:noWrap/>
            <w:vAlign w:val="bottom"/>
            <w:hideMark/>
          </w:tcPr>
          <w:p w14:paraId="3B9360AA"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10</w:t>
            </w:r>
          </w:p>
        </w:tc>
        <w:tc>
          <w:tcPr>
            <w:tcW w:w="1260" w:type="dxa"/>
            <w:shd w:val="clear" w:color="auto" w:fill="auto"/>
            <w:noWrap/>
            <w:vAlign w:val="bottom"/>
            <w:hideMark/>
          </w:tcPr>
          <w:p w14:paraId="1FF02BC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17</w:t>
            </w:r>
          </w:p>
        </w:tc>
      </w:tr>
      <w:tr w:rsidR="0026405B" w:rsidRPr="0026405B" w14:paraId="5612E774" w14:textId="77777777" w:rsidTr="007456F3">
        <w:trPr>
          <w:trHeight w:val="288"/>
        </w:trPr>
        <w:tc>
          <w:tcPr>
            <w:tcW w:w="7825" w:type="dxa"/>
            <w:shd w:val="clear" w:color="auto" w:fill="auto"/>
            <w:noWrap/>
            <w:vAlign w:val="bottom"/>
            <w:hideMark/>
          </w:tcPr>
          <w:p w14:paraId="6F11005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EMPAGLIFLOZIN TAB 10 MG BOEH</w:t>
            </w:r>
          </w:p>
        </w:tc>
        <w:tc>
          <w:tcPr>
            <w:tcW w:w="990" w:type="dxa"/>
            <w:shd w:val="clear" w:color="auto" w:fill="auto"/>
            <w:noWrap/>
            <w:vAlign w:val="bottom"/>
            <w:hideMark/>
          </w:tcPr>
          <w:p w14:paraId="7A48307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10</w:t>
            </w:r>
          </w:p>
        </w:tc>
        <w:tc>
          <w:tcPr>
            <w:tcW w:w="1260" w:type="dxa"/>
            <w:shd w:val="clear" w:color="auto" w:fill="auto"/>
            <w:noWrap/>
            <w:vAlign w:val="bottom"/>
            <w:hideMark/>
          </w:tcPr>
          <w:p w14:paraId="3E797F3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12</w:t>
            </w:r>
          </w:p>
        </w:tc>
      </w:tr>
      <w:tr w:rsidR="0026405B" w:rsidRPr="0026405B" w14:paraId="55B3244F" w14:textId="77777777" w:rsidTr="007456F3">
        <w:trPr>
          <w:trHeight w:val="288"/>
        </w:trPr>
        <w:tc>
          <w:tcPr>
            <w:tcW w:w="7825" w:type="dxa"/>
            <w:shd w:val="clear" w:color="auto" w:fill="auto"/>
            <w:noWrap/>
            <w:vAlign w:val="bottom"/>
            <w:hideMark/>
          </w:tcPr>
          <w:p w14:paraId="2E4631F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SITAGLIPTIN-METFORMIN HCL</w:t>
            </w:r>
          </w:p>
        </w:tc>
        <w:tc>
          <w:tcPr>
            <w:tcW w:w="990" w:type="dxa"/>
            <w:shd w:val="clear" w:color="auto" w:fill="auto"/>
            <w:noWrap/>
            <w:vAlign w:val="bottom"/>
            <w:hideMark/>
          </w:tcPr>
          <w:p w14:paraId="55F8C9D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9</w:t>
            </w:r>
          </w:p>
        </w:tc>
        <w:tc>
          <w:tcPr>
            <w:tcW w:w="1260" w:type="dxa"/>
            <w:shd w:val="clear" w:color="auto" w:fill="auto"/>
            <w:noWrap/>
            <w:vAlign w:val="bottom"/>
            <w:hideMark/>
          </w:tcPr>
          <w:p w14:paraId="446444E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8</w:t>
            </w:r>
          </w:p>
        </w:tc>
      </w:tr>
      <w:tr w:rsidR="0026405B" w:rsidRPr="0026405B" w14:paraId="163920B2" w14:textId="77777777" w:rsidTr="007456F3">
        <w:trPr>
          <w:trHeight w:val="288"/>
        </w:trPr>
        <w:tc>
          <w:tcPr>
            <w:tcW w:w="7825" w:type="dxa"/>
            <w:shd w:val="clear" w:color="auto" w:fill="auto"/>
            <w:noWrap/>
            <w:vAlign w:val="bottom"/>
            <w:hideMark/>
          </w:tcPr>
          <w:p w14:paraId="5484C9DB"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GLIMEPIRIDE TAB 2 MG TEVA</w:t>
            </w:r>
          </w:p>
        </w:tc>
        <w:tc>
          <w:tcPr>
            <w:tcW w:w="990" w:type="dxa"/>
            <w:shd w:val="clear" w:color="auto" w:fill="auto"/>
            <w:noWrap/>
            <w:vAlign w:val="bottom"/>
            <w:hideMark/>
          </w:tcPr>
          <w:p w14:paraId="0540CAA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8</w:t>
            </w:r>
          </w:p>
        </w:tc>
        <w:tc>
          <w:tcPr>
            <w:tcW w:w="1260" w:type="dxa"/>
            <w:shd w:val="clear" w:color="auto" w:fill="auto"/>
            <w:noWrap/>
            <w:vAlign w:val="bottom"/>
            <w:hideMark/>
          </w:tcPr>
          <w:p w14:paraId="21AA1D7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16</w:t>
            </w:r>
          </w:p>
        </w:tc>
      </w:tr>
      <w:tr w:rsidR="0026405B" w:rsidRPr="0026405B" w14:paraId="71D3D844" w14:textId="77777777" w:rsidTr="007456F3">
        <w:trPr>
          <w:trHeight w:val="288"/>
        </w:trPr>
        <w:tc>
          <w:tcPr>
            <w:tcW w:w="7825" w:type="dxa"/>
            <w:shd w:val="clear" w:color="auto" w:fill="auto"/>
            <w:noWrap/>
            <w:vAlign w:val="bottom"/>
            <w:hideMark/>
          </w:tcPr>
          <w:p w14:paraId="28A80490"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REGULAR (HUMAN) INJ 100 UNIT/M NOVO</w:t>
            </w:r>
          </w:p>
        </w:tc>
        <w:tc>
          <w:tcPr>
            <w:tcW w:w="990" w:type="dxa"/>
            <w:shd w:val="clear" w:color="auto" w:fill="auto"/>
            <w:noWrap/>
            <w:vAlign w:val="bottom"/>
            <w:hideMark/>
          </w:tcPr>
          <w:p w14:paraId="50C3CF1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8</w:t>
            </w:r>
          </w:p>
        </w:tc>
        <w:tc>
          <w:tcPr>
            <w:tcW w:w="1260" w:type="dxa"/>
            <w:shd w:val="clear" w:color="auto" w:fill="auto"/>
            <w:noWrap/>
            <w:vAlign w:val="bottom"/>
            <w:hideMark/>
          </w:tcPr>
          <w:p w14:paraId="02EDA4B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r>
      <w:tr w:rsidR="0026405B" w:rsidRPr="0026405B" w14:paraId="57178D25" w14:textId="77777777" w:rsidTr="007456F3">
        <w:trPr>
          <w:trHeight w:val="288"/>
        </w:trPr>
        <w:tc>
          <w:tcPr>
            <w:tcW w:w="7825" w:type="dxa"/>
            <w:shd w:val="clear" w:color="auto" w:fill="auto"/>
            <w:noWrap/>
            <w:vAlign w:val="bottom"/>
            <w:hideMark/>
          </w:tcPr>
          <w:p w14:paraId="671C8ADC"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DETEMIR INJ 100 UNIT/ML NOVO</w:t>
            </w:r>
          </w:p>
        </w:tc>
        <w:tc>
          <w:tcPr>
            <w:tcW w:w="990" w:type="dxa"/>
            <w:shd w:val="clear" w:color="auto" w:fill="auto"/>
            <w:noWrap/>
            <w:vAlign w:val="bottom"/>
            <w:hideMark/>
          </w:tcPr>
          <w:p w14:paraId="4D0808E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7</w:t>
            </w:r>
          </w:p>
        </w:tc>
        <w:tc>
          <w:tcPr>
            <w:tcW w:w="1260" w:type="dxa"/>
            <w:shd w:val="clear" w:color="auto" w:fill="auto"/>
            <w:noWrap/>
            <w:vAlign w:val="bottom"/>
            <w:hideMark/>
          </w:tcPr>
          <w:p w14:paraId="4849ED0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w:t>
            </w:r>
          </w:p>
        </w:tc>
      </w:tr>
      <w:tr w:rsidR="0026405B" w:rsidRPr="0026405B" w14:paraId="44D2F1D8" w14:textId="77777777" w:rsidTr="007456F3">
        <w:trPr>
          <w:trHeight w:val="288"/>
        </w:trPr>
        <w:tc>
          <w:tcPr>
            <w:tcW w:w="7825" w:type="dxa"/>
            <w:shd w:val="clear" w:color="auto" w:fill="auto"/>
            <w:noWrap/>
            <w:vAlign w:val="bottom"/>
            <w:hideMark/>
          </w:tcPr>
          <w:p w14:paraId="3D8EAF97"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REGULAR (HUMAN) INJ 500 UNIT/M LILL</w:t>
            </w:r>
          </w:p>
        </w:tc>
        <w:tc>
          <w:tcPr>
            <w:tcW w:w="990" w:type="dxa"/>
            <w:shd w:val="clear" w:color="auto" w:fill="auto"/>
            <w:noWrap/>
            <w:vAlign w:val="bottom"/>
            <w:hideMark/>
          </w:tcPr>
          <w:p w14:paraId="25F303F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7</w:t>
            </w:r>
          </w:p>
        </w:tc>
        <w:tc>
          <w:tcPr>
            <w:tcW w:w="1260" w:type="dxa"/>
            <w:shd w:val="clear" w:color="auto" w:fill="auto"/>
            <w:noWrap/>
            <w:vAlign w:val="bottom"/>
            <w:hideMark/>
          </w:tcPr>
          <w:p w14:paraId="76EB882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r>
      <w:tr w:rsidR="0026405B" w:rsidRPr="0026405B" w14:paraId="53F27A7E" w14:textId="77777777" w:rsidTr="007456F3">
        <w:trPr>
          <w:trHeight w:val="288"/>
        </w:trPr>
        <w:tc>
          <w:tcPr>
            <w:tcW w:w="7825" w:type="dxa"/>
            <w:shd w:val="clear" w:color="auto" w:fill="auto"/>
            <w:noWrap/>
            <w:vAlign w:val="bottom"/>
            <w:hideMark/>
          </w:tcPr>
          <w:p w14:paraId="6B94D5CA"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SR 24HR 5 MG GREE</w:t>
            </w:r>
          </w:p>
        </w:tc>
        <w:tc>
          <w:tcPr>
            <w:tcW w:w="990" w:type="dxa"/>
            <w:shd w:val="clear" w:color="auto" w:fill="auto"/>
            <w:noWrap/>
            <w:vAlign w:val="bottom"/>
            <w:hideMark/>
          </w:tcPr>
          <w:p w14:paraId="47DA9CE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6</w:t>
            </w:r>
          </w:p>
        </w:tc>
        <w:tc>
          <w:tcPr>
            <w:tcW w:w="1260" w:type="dxa"/>
            <w:shd w:val="clear" w:color="auto" w:fill="auto"/>
            <w:noWrap/>
            <w:vAlign w:val="bottom"/>
            <w:hideMark/>
          </w:tcPr>
          <w:p w14:paraId="28C2CB0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15</w:t>
            </w:r>
          </w:p>
        </w:tc>
      </w:tr>
      <w:tr w:rsidR="0026405B" w:rsidRPr="0026405B" w14:paraId="76CCDEC7" w14:textId="77777777" w:rsidTr="007456F3">
        <w:trPr>
          <w:trHeight w:val="288"/>
        </w:trPr>
        <w:tc>
          <w:tcPr>
            <w:tcW w:w="7825" w:type="dxa"/>
            <w:shd w:val="clear" w:color="auto" w:fill="auto"/>
            <w:noWrap/>
            <w:vAlign w:val="bottom"/>
            <w:hideMark/>
          </w:tcPr>
          <w:p w14:paraId="18521628"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ASPART PROT &amp; ASPART (HUMAN) INJ 100 UNIT/ NOVO</w:t>
            </w:r>
          </w:p>
        </w:tc>
        <w:tc>
          <w:tcPr>
            <w:tcW w:w="990" w:type="dxa"/>
            <w:shd w:val="clear" w:color="auto" w:fill="auto"/>
            <w:noWrap/>
            <w:vAlign w:val="bottom"/>
            <w:hideMark/>
          </w:tcPr>
          <w:p w14:paraId="2028C2F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w:t>
            </w:r>
          </w:p>
        </w:tc>
        <w:tc>
          <w:tcPr>
            <w:tcW w:w="1260" w:type="dxa"/>
            <w:shd w:val="clear" w:color="auto" w:fill="auto"/>
            <w:noWrap/>
            <w:vAlign w:val="bottom"/>
            <w:hideMark/>
          </w:tcPr>
          <w:p w14:paraId="56CC4DA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79A02968" w14:textId="77777777" w:rsidTr="007456F3">
        <w:trPr>
          <w:trHeight w:val="288"/>
        </w:trPr>
        <w:tc>
          <w:tcPr>
            <w:tcW w:w="7825" w:type="dxa"/>
            <w:shd w:val="clear" w:color="auto" w:fill="auto"/>
            <w:noWrap/>
            <w:vAlign w:val="bottom"/>
            <w:hideMark/>
          </w:tcPr>
          <w:p w14:paraId="2C8B7EF1"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LISPRO INJ 100 UNIT/ML LILL</w:t>
            </w:r>
          </w:p>
        </w:tc>
        <w:tc>
          <w:tcPr>
            <w:tcW w:w="990" w:type="dxa"/>
            <w:shd w:val="clear" w:color="auto" w:fill="auto"/>
            <w:noWrap/>
            <w:vAlign w:val="bottom"/>
            <w:hideMark/>
          </w:tcPr>
          <w:p w14:paraId="7E91A6C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w:t>
            </w:r>
          </w:p>
        </w:tc>
        <w:tc>
          <w:tcPr>
            <w:tcW w:w="1260" w:type="dxa"/>
            <w:shd w:val="clear" w:color="auto" w:fill="auto"/>
            <w:noWrap/>
            <w:vAlign w:val="bottom"/>
            <w:hideMark/>
          </w:tcPr>
          <w:p w14:paraId="34B75E0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261</w:t>
            </w:r>
          </w:p>
        </w:tc>
      </w:tr>
      <w:tr w:rsidR="0026405B" w:rsidRPr="0026405B" w14:paraId="30F5EC26" w14:textId="77777777" w:rsidTr="007456F3">
        <w:trPr>
          <w:trHeight w:val="288"/>
        </w:trPr>
        <w:tc>
          <w:tcPr>
            <w:tcW w:w="7825" w:type="dxa"/>
            <w:shd w:val="clear" w:color="auto" w:fill="auto"/>
            <w:noWrap/>
            <w:vAlign w:val="bottom"/>
            <w:hideMark/>
          </w:tcPr>
          <w:p w14:paraId="10617152"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DETEMIR SOLN PEN-INJECTOR 100 UNIT/ML NOVO</w:t>
            </w:r>
          </w:p>
        </w:tc>
        <w:tc>
          <w:tcPr>
            <w:tcW w:w="990" w:type="dxa"/>
            <w:shd w:val="clear" w:color="auto" w:fill="auto"/>
            <w:noWrap/>
            <w:vAlign w:val="bottom"/>
            <w:hideMark/>
          </w:tcPr>
          <w:p w14:paraId="0545180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w:t>
            </w:r>
          </w:p>
        </w:tc>
        <w:tc>
          <w:tcPr>
            <w:tcW w:w="1260" w:type="dxa"/>
            <w:shd w:val="clear" w:color="auto" w:fill="auto"/>
            <w:noWrap/>
            <w:vAlign w:val="bottom"/>
            <w:hideMark/>
          </w:tcPr>
          <w:p w14:paraId="46B88C9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8</w:t>
            </w:r>
          </w:p>
        </w:tc>
      </w:tr>
      <w:tr w:rsidR="0026405B" w:rsidRPr="0026405B" w14:paraId="4426654E" w14:textId="77777777" w:rsidTr="007456F3">
        <w:trPr>
          <w:trHeight w:val="288"/>
        </w:trPr>
        <w:tc>
          <w:tcPr>
            <w:tcW w:w="7825" w:type="dxa"/>
            <w:shd w:val="clear" w:color="auto" w:fill="auto"/>
            <w:noWrap/>
            <w:vAlign w:val="bottom"/>
            <w:hideMark/>
          </w:tcPr>
          <w:p w14:paraId="6571343C"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SR 24HR 2.5 MG ACTA</w:t>
            </w:r>
          </w:p>
        </w:tc>
        <w:tc>
          <w:tcPr>
            <w:tcW w:w="990" w:type="dxa"/>
            <w:shd w:val="clear" w:color="auto" w:fill="auto"/>
            <w:noWrap/>
            <w:vAlign w:val="bottom"/>
            <w:hideMark/>
          </w:tcPr>
          <w:p w14:paraId="42EDD81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w:t>
            </w:r>
          </w:p>
        </w:tc>
        <w:tc>
          <w:tcPr>
            <w:tcW w:w="1260" w:type="dxa"/>
            <w:shd w:val="clear" w:color="auto" w:fill="auto"/>
            <w:noWrap/>
            <w:vAlign w:val="bottom"/>
            <w:hideMark/>
          </w:tcPr>
          <w:p w14:paraId="39887CB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7</w:t>
            </w:r>
          </w:p>
        </w:tc>
      </w:tr>
      <w:tr w:rsidR="0026405B" w:rsidRPr="0026405B" w14:paraId="6FFB05DB" w14:textId="77777777" w:rsidTr="007456F3">
        <w:trPr>
          <w:trHeight w:val="288"/>
        </w:trPr>
        <w:tc>
          <w:tcPr>
            <w:tcW w:w="7825" w:type="dxa"/>
            <w:shd w:val="clear" w:color="auto" w:fill="auto"/>
            <w:noWrap/>
            <w:vAlign w:val="bottom"/>
            <w:hideMark/>
          </w:tcPr>
          <w:p w14:paraId="10094AD7"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ISOPHANE (HUMAN) INJ 100 UNIT/ML NOVO</w:t>
            </w:r>
          </w:p>
        </w:tc>
        <w:tc>
          <w:tcPr>
            <w:tcW w:w="990" w:type="dxa"/>
            <w:shd w:val="clear" w:color="auto" w:fill="auto"/>
            <w:noWrap/>
            <w:vAlign w:val="bottom"/>
            <w:hideMark/>
          </w:tcPr>
          <w:p w14:paraId="4F88C3FD"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w:t>
            </w:r>
          </w:p>
        </w:tc>
        <w:tc>
          <w:tcPr>
            <w:tcW w:w="1260" w:type="dxa"/>
            <w:shd w:val="clear" w:color="auto" w:fill="auto"/>
            <w:noWrap/>
            <w:vAlign w:val="bottom"/>
            <w:hideMark/>
          </w:tcPr>
          <w:p w14:paraId="4CD3AF5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6</w:t>
            </w:r>
          </w:p>
        </w:tc>
      </w:tr>
      <w:tr w:rsidR="0026405B" w:rsidRPr="0026405B" w14:paraId="17411807" w14:textId="77777777" w:rsidTr="007456F3">
        <w:trPr>
          <w:trHeight w:val="288"/>
        </w:trPr>
        <w:tc>
          <w:tcPr>
            <w:tcW w:w="7825" w:type="dxa"/>
            <w:shd w:val="clear" w:color="auto" w:fill="auto"/>
            <w:noWrap/>
            <w:vAlign w:val="bottom"/>
            <w:hideMark/>
          </w:tcPr>
          <w:p w14:paraId="0C1C8D8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SITAGLIPTIN PHOSPHATE TAB 50 MG (BASE EQUIV) MERC</w:t>
            </w:r>
          </w:p>
        </w:tc>
        <w:tc>
          <w:tcPr>
            <w:tcW w:w="990" w:type="dxa"/>
            <w:shd w:val="clear" w:color="auto" w:fill="auto"/>
            <w:noWrap/>
            <w:vAlign w:val="bottom"/>
            <w:hideMark/>
          </w:tcPr>
          <w:p w14:paraId="3E6F691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w:t>
            </w:r>
          </w:p>
        </w:tc>
        <w:tc>
          <w:tcPr>
            <w:tcW w:w="1260" w:type="dxa"/>
            <w:shd w:val="clear" w:color="auto" w:fill="auto"/>
            <w:noWrap/>
            <w:vAlign w:val="bottom"/>
            <w:hideMark/>
          </w:tcPr>
          <w:p w14:paraId="53203FE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r>
      <w:tr w:rsidR="0026405B" w:rsidRPr="0026405B" w14:paraId="50AF8B2A" w14:textId="77777777" w:rsidTr="007456F3">
        <w:trPr>
          <w:trHeight w:val="288"/>
        </w:trPr>
        <w:tc>
          <w:tcPr>
            <w:tcW w:w="7825" w:type="dxa"/>
            <w:shd w:val="clear" w:color="auto" w:fill="auto"/>
            <w:noWrap/>
            <w:vAlign w:val="bottom"/>
            <w:hideMark/>
          </w:tcPr>
          <w:p w14:paraId="37438F79"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100 MG ROXA</w:t>
            </w:r>
          </w:p>
        </w:tc>
        <w:tc>
          <w:tcPr>
            <w:tcW w:w="990" w:type="dxa"/>
            <w:shd w:val="clear" w:color="auto" w:fill="auto"/>
            <w:noWrap/>
            <w:vAlign w:val="bottom"/>
            <w:hideMark/>
          </w:tcPr>
          <w:p w14:paraId="35E3E10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5</w:t>
            </w:r>
          </w:p>
        </w:tc>
        <w:tc>
          <w:tcPr>
            <w:tcW w:w="1260" w:type="dxa"/>
            <w:shd w:val="clear" w:color="auto" w:fill="auto"/>
            <w:noWrap/>
            <w:vAlign w:val="bottom"/>
            <w:hideMark/>
          </w:tcPr>
          <w:p w14:paraId="023BF19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r w:rsidR="0026405B" w:rsidRPr="0026405B" w14:paraId="08A3BA00" w14:textId="77777777" w:rsidTr="007456F3">
        <w:trPr>
          <w:trHeight w:val="288"/>
        </w:trPr>
        <w:tc>
          <w:tcPr>
            <w:tcW w:w="7825" w:type="dxa"/>
            <w:shd w:val="clear" w:color="auto" w:fill="auto"/>
            <w:noWrap/>
            <w:vAlign w:val="bottom"/>
            <w:hideMark/>
          </w:tcPr>
          <w:p w14:paraId="797AA046"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CANAGLIFLOZIN-METFORMIN HCL TAB 150-1,000 MG JANS</w:t>
            </w:r>
          </w:p>
        </w:tc>
        <w:tc>
          <w:tcPr>
            <w:tcW w:w="990" w:type="dxa"/>
            <w:shd w:val="clear" w:color="auto" w:fill="auto"/>
            <w:noWrap/>
            <w:vAlign w:val="bottom"/>
            <w:hideMark/>
          </w:tcPr>
          <w:p w14:paraId="7063A25A"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c>
          <w:tcPr>
            <w:tcW w:w="1260" w:type="dxa"/>
            <w:shd w:val="clear" w:color="auto" w:fill="auto"/>
            <w:noWrap/>
            <w:vAlign w:val="bottom"/>
            <w:hideMark/>
          </w:tcPr>
          <w:p w14:paraId="3958398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7453B3FA" w14:textId="77777777" w:rsidTr="007456F3">
        <w:trPr>
          <w:trHeight w:val="288"/>
        </w:trPr>
        <w:tc>
          <w:tcPr>
            <w:tcW w:w="7825" w:type="dxa"/>
            <w:shd w:val="clear" w:color="auto" w:fill="auto"/>
            <w:noWrap/>
            <w:vAlign w:val="bottom"/>
            <w:hideMark/>
          </w:tcPr>
          <w:p w14:paraId="0C235032"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PRAMLINTIDE ACETATE INJ 2700 MCG/2.7ML (1000 MCG/ML) (B AMYL</w:t>
            </w:r>
          </w:p>
        </w:tc>
        <w:tc>
          <w:tcPr>
            <w:tcW w:w="990" w:type="dxa"/>
            <w:shd w:val="clear" w:color="auto" w:fill="auto"/>
            <w:noWrap/>
            <w:vAlign w:val="bottom"/>
            <w:hideMark/>
          </w:tcPr>
          <w:p w14:paraId="41C8388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c>
          <w:tcPr>
            <w:tcW w:w="1260" w:type="dxa"/>
            <w:shd w:val="clear" w:color="auto" w:fill="auto"/>
            <w:noWrap/>
            <w:vAlign w:val="bottom"/>
            <w:hideMark/>
          </w:tcPr>
          <w:p w14:paraId="392C520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4C93F233" w14:textId="77777777" w:rsidTr="007456F3">
        <w:trPr>
          <w:trHeight w:val="288"/>
        </w:trPr>
        <w:tc>
          <w:tcPr>
            <w:tcW w:w="7825" w:type="dxa"/>
            <w:shd w:val="clear" w:color="auto" w:fill="auto"/>
            <w:noWrap/>
            <w:vAlign w:val="bottom"/>
            <w:hideMark/>
          </w:tcPr>
          <w:p w14:paraId="4A2C6B11"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SITAGLIPTIN PHOSPHATE TAB 50 MG MERC</w:t>
            </w:r>
          </w:p>
        </w:tc>
        <w:tc>
          <w:tcPr>
            <w:tcW w:w="990" w:type="dxa"/>
            <w:shd w:val="clear" w:color="auto" w:fill="auto"/>
            <w:noWrap/>
            <w:vAlign w:val="bottom"/>
            <w:hideMark/>
          </w:tcPr>
          <w:p w14:paraId="25143EB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c>
          <w:tcPr>
            <w:tcW w:w="1260" w:type="dxa"/>
            <w:shd w:val="clear" w:color="auto" w:fill="auto"/>
            <w:noWrap/>
            <w:vAlign w:val="bottom"/>
            <w:hideMark/>
          </w:tcPr>
          <w:p w14:paraId="14B706F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6B25F8A9" w14:textId="77777777" w:rsidTr="007456F3">
        <w:trPr>
          <w:trHeight w:val="288"/>
        </w:trPr>
        <w:tc>
          <w:tcPr>
            <w:tcW w:w="7825" w:type="dxa"/>
            <w:shd w:val="clear" w:color="auto" w:fill="auto"/>
            <w:noWrap/>
            <w:vAlign w:val="bottom"/>
            <w:hideMark/>
          </w:tcPr>
          <w:p w14:paraId="62BF63A5"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GLIMEPIRIDE TAB 1 MG TEVA</w:t>
            </w:r>
          </w:p>
        </w:tc>
        <w:tc>
          <w:tcPr>
            <w:tcW w:w="990" w:type="dxa"/>
            <w:shd w:val="clear" w:color="auto" w:fill="auto"/>
            <w:noWrap/>
            <w:vAlign w:val="bottom"/>
            <w:hideMark/>
          </w:tcPr>
          <w:p w14:paraId="635E97F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c>
          <w:tcPr>
            <w:tcW w:w="1260" w:type="dxa"/>
            <w:shd w:val="clear" w:color="auto" w:fill="auto"/>
            <w:noWrap/>
            <w:vAlign w:val="bottom"/>
            <w:hideMark/>
          </w:tcPr>
          <w:p w14:paraId="3EF8D59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30</w:t>
            </w:r>
          </w:p>
        </w:tc>
      </w:tr>
      <w:tr w:rsidR="0026405B" w:rsidRPr="0026405B" w14:paraId="48FD30F6" w14:textId="77777777" w:rsidTr="007456F3">
        <w:trPr>
          <w:trHeight w:val="288"/>
        </w:trPr>
        <w:tc>
          <w:tcPr>
            <w:tcW w:w="7825" w:type="dxa"/>
            <w:shd w:val="clear" w:color="auto" w:fill="auto"/>
            <w:noWrap/>
            <w:vAlign w:val="bottom"/>
            <w:hideMark/>
          </w:tcPr>
          <w:p w14:paraId="2AC15532"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SR 24HR 2.5 MG GREE</w:t>
            </w:r>
          </w:p>
        </w:tc>
        <w:tc>
          <w:tcPr>
            <w:tcW w:w="990" w:type="dxa"/>
            <w:shd w:val="clear" w:color="auto" w:fill="auto"/>
            <w:noWrap/>
            <w:vAlign w:val="bottom"/>
            <w:hideMark/>
          </w:tcPr>
          <w:p w14:paraId="55EE24E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c>
          <w:tcPr>
            <w:tcW w:w="1260" w:type="dxa"/>
            <w:shd w:val="clear" w:color="auto" w:fill="auto"/>
            <w:noWrap/>
            <w:vAlign w:val="bottom"/>
            <w:hideMark/>
          </w:tcPr>
          <w:p w14:paraId="2C0B4FB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7</w:t>
            </w:r>
          </w:p>
        </w:tc>
      </w:tr>
      <w:tr w:rsidR="0026405B" w:rsidRPr="0026405B" w14:paraId="2E333FF3" w14:textId="77777777" w:rsidTr="007456F3">
        <w:trPr>
          <w:trHeight w:val="288"/>
        </w:trPr>
        <w:tc>
          <w:tcPr>
            <w:tcW w:w="7825" w:type="dxa"/>
            <w:shd w:val="clear" w:color="auto" w:fill="auto"/>
            <w:noWrap/>
            <w:vAlign w:val="bottom"/>
            <w:hideMark/>
          </w:tcPr>
          <w:p w14:paraId="344C2A48"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REGULAR (HUMAN) INJ 100 UNIT/ML NOVO</w:t>
            </w:r>
          </w:p>
        </w:tc>
        <w:tc>
          <w:tcPr>
            <w:tcW w:w="990" w:type="dxa"/>
            <w:shd w:val="clear" w:color="auto" w:fill="auto"/>
            <w:noWrap/>
            <w:vAlign w:val="bottom"/>
            <w:hideMark/>
          </w:tcPr>
          <w:p w14:paraId="68FEC89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c>
          <w:tcPr>
            <w:tcW w:w="1260" w:type="dxa"/>
            <w:shd w:val="clear" w:color="auto" w:fill="auto"/>
            <w:noWrap/>
            <w:vAlign w:val="bottom"/>
            <w:hideMark/>
          </w:tcPr>
          <w:p w14:paraId="11636C0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r>
      <w:tr w:rsidR="0026405B" w:rsidRPr="0026405B" w14:paraId="414E5179" w14:textId="77777777" w:rsidTr="007456F3">
        <w:trPr>
          <w:trHeight w:val="288"/>
        </w:trPr>
        <w:tc>
          <w:tcPr>
            <w:tcW w:w="7825" w:type="dxa"/>
            <w:shd w:val="clear" w:color="auto" w:fill="auto"/>
            <w:noWrap/>
            <w:vAlign w:val="bottom"/>
            <w:hideMark/>
          </w:tcPr>
          <w:p w14:paraId="7F292218"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LINAGLIPTIN</w:t>
            </w:r>
          </w:p>
        </w:tc>
        <w:tc>
          <w:tcPr>
            <w:tcW w:w="990" w:type="dxa"/>
            <w:shd w:val="clear" w:color="auto" w:fill="auto"/>
            <w:noWrap/>
            <w:vAlign w:val="bottom"/>
            <w:hideMark/>
          </w:tcPr>
          <w:p w14:paraId="680DE43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c>
          <w:tcPr>
            <w:tcW w:w="1260" w:type="dxa"/>
            <w:shd w:val="clear" w:color="auto" w:fill="auto"/>
            <w:noWrap/>
            <w:vAlign w:val="bottom"/>
            <w:hideMark/>
          </w:tcPr>
          <w:p w14:paraId="77F9B2D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r>
      <w:tr w:rsidR="0026405B" w:rsidRPr="0026405B" w14:paraId="024D0614" w14:textId="77777777" w:rsidTr="007456F3">
        <w:trPr>
          <w:trHeight w:val="288"/>
        </w:trPr>
        <w:tc>
          <w:tcPr>
            <w:tcW w:w="7825" w:type="dxa"/>
            <w:shd w:val="clear" w:color="auto" w:fill="auto"/>
            <w:noWrap/>
            <w:vAlign w:val="bottom"/>
            <w:hideMark/>
          </w:tcPr>
          <w:p w14:paraId="74985C81"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SITAGLIPTIN PHOSPHATE TAB 100 MG MERC</w:t>
            </w:r>
          </w:p>
        </w:tc>
        <w:tc>
          <w:tcPr>
            <w:tcW w:w="990" w:type="dxa"/>
            <w:shd w:val="clear" w:color="auto" w:fill="auto"/>
            <w:noWrap/>
            <w:vAlign w:val="bottom"/>
            <w:hideMark/>
          </w:tcPr>
          <w:p w14:paraId="1421C0F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c>
          <w:tcPr>
            <w:tcW w:w="1260" w:type="dxa"/>
            <w:shd w:val="clear" w:color="auto" w:fill="auto"/>
            <w:noWrap/>
            <w:vAlign w:val="bottom"/>
            <w:hideMark/>
          </w:tcPr>
          <w:p w14:paraId="6DF59B2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r>
      <w:tr w:rsidR="0026405B" w:rsidRPr="0026405B" w14:paraId="09949145" w14:textId="77777777" w:rsidTr="007456F3">
        <w:trPr>
          <w:trHeight w:val="288"/>
        </w:trPr>
        <w:tc>
          <w:tcPr>
            <w:tcW w:w="7825" w:type="dxa"/>
            <w:shd w:val="clear" w:color="auto" w:fill="auto"/>
            <w:noWrap/>
            <w:vAlign w:val="bottom"/>
            <w:hideMark/>
          </w:tcPr>
          <w:p w14:paraId="5FEECCA9"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LISPRO PROT &amp; LISPRO (HUMAN) INJ 100 UNIT/M SUS LILL</w:t>
            </w:r>
          </w:p>
        </w:tc>
        <w:tc>
          <w:tcPr>
            <w:tcW w:w="990" w:type="dxa"/>
            <w:shd w:val="clear" w:color="auto" w:fill="auto"/>
            <w:noWrap/>
            <w:vAlign w:val="bottom"/>
            <w:hideMark/>
          </w:tcPr>
          <w:p w14:paraId="672E4D5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c>
          <w:tcPr>
            <w:tcW w:w="1260" w:type="dxa"/>
            <w:shd w:val="clear" w:color="auto" w:fill="auto"/>
            <w:noWrap/>
            <w:vAlign w:val="bottom"/>
            <w:hideMark/>
          </w:tcPr>
          <w:p w14:paraId="765A845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7E68C414" w14:textId="77777777" w:rsidTr="007456F3">
        <w:trPr>
          <w:trHeight w:val="288"/>
        </w:trPr>
        <w:tc>
          <w:tcPr>
            <w:tcW w:w="7825" w:type="dxa"/>
            <w:shd w:val="clear" w:color="auto" w:fill="auto"/>
            <w:noWrap/>
            <w:vAlign w:val="bottom"/>
            <w:hideMark/>
          </w:tcPr>
          <w:p w14:paraId="2395C16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LISPRO PROT &amp; LISPRO (HUMAN) INJ 100 UNIT/ML (7 LILL</w:t>
            </w:r>
          </w:p>
        </w:tc>
        <w:tc>
          <w:tcPr>
            <w:tcW w:w="990" w:type="dxa"/>
            <w:shd w:val="clear" w:color="auto" w:fill="auto"/>
            <w:noWrap/>
            <w:vAlign w:val="bottom"/>
            <w:hideMark/>
          </w:tcPr>
          <w:p w14:paraId="432A901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c>
          <w:tcPr>
            <w:tcW w:w="1260" w:type="dxa"/>
            <w:shd w:val="clear" w:color="auto" w:fill="auto"/>
            <w:noWrap/>
            <w:vAlign w:val="bottom"/>
            <w:hideMark/>
          </w:tcPr>
          <w:p w14:paraId="52E6E19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23B7B48D" w14:textId="77777777" w:rsidTr="007456F3">
        <w:trPr>
          <w:trHeight w:val="288"/>
        </w:trPr>
        <w:tc>
          <w:tcPr>
            <w:tcW w:w="7825" w:type="dxa"/>
            <w:shd w:val="clear" w:color="auto" w:fill="auto"/>
            <w:noWrap/>
            <w:vAlign w:val="bottom"/>
            <w:hideMark/>
          </w:tcPr>
          <w:p w14:paraId="143720E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GLYBURIDE TAB 1.25 MG TEVA</w:t>
            </w:r>
          </w:p>
        </w:tc>
        <w:tc>
          <w:tcPr>
            <w:tcW w:w="990" w:type="dxa"/>
            <w:shd w:val="clear" w:color="auto" w:fill="auto"/>
            <w:noWrap/>
            <w:vAlign w:val="bottom"/>
            <w:hideMark/>
          </w:tcPr>
          <w:p w14:paraId="21F5746A"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c>
          <w:tcPr>
            <w:tcW w:w="1260" w:type="dxa"/>
            <w:shd w:val="clear" w:color="auto" w:fill="auto"/>
            <w:noWrap/>
            <w:vAlign w:val="bottom"/>
            <w:hideMark/>
          </w:tcPr>
          <w:p w14:paraId="607FD91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38</w:t>
            </w:r>
          </w:p>
        </w:tc>
      </w:tr>
      <w:tr w:rsidR="0026405B" w:rsidRPr="0026405B" w14:paraId="433EA9A0" w14:textId="77777777" w:rsidTr="007456F3">
        <w:trPr>
          <w:trHeight w:val="288"/>
        </w:trPr>
        <w:tc>
          <w:tcPr>
            <w:tcW w:w="7825" w:type="dxa"/>
            <w:shd w:val="clear" w:color="auto" w:fill="auto"/>
            <w:noWrap/>
            <w:vAlign w:val="bottom"/>
            <w:hideMark/>
          </w:tcPr>
          <w:p w14:paraId="5996485B"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CANAGLIFLOZIN TAB 100 MG JANS</w:t>
            </w:r>
          </w:p>
        </w:tc>
        <w:tc>
          <w:tcPr>
            <w:tcW w:w="990" w:type="dxa"/>
            <w:shd w:val="clear" w:color="auto" w:fill="auto"/>
            <w:noWrap/>
            <w:vAlign w:val="bottom"/>
            <w:hideMark/>
          </w:tcPr>
          <w:p w14:paraId="7562C1A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c>
          <w:tcPr>
            <w:tcW w:w="1260" w:type="dxa"/>
            <w:shd w:val="clear" w:color="auto" w:fill="auto"/>
            <w:noWrap/>
            <w:vAlign w:val="bottom"/>
            <w:hideMark/>
          </w:tcPr>
          <w:p w14:paraId="68ACAB9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18</w:t>
            </w:r>
          </w:p>
        </w:tc>
      </w:tr>
      <w:tr w:rsidR="0026405B" w:rsidRPr="0026405B" w14:paraId="684FECC1" w14:textId="77777777" w:rsidTr="007456F3">
        <w:trPr>
          <w:trHeight w:val="288"/>
        </w:trPr>
        <w:tc>
          <w:tcPr>
            <w:tcW w:w="7825" w:type="dxa"/>
            <w:shd w:val="clear" w:color="auto" w:fill="auto"/>
            <w:noWrap/>
            <w:vAlign w:val="bottom"/>
            <w:hideMark/>
          </w:tcPr>
          <w:p w14:paraId="55FE31B2"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CANAGLIFLOZIN TAB 300 MG JANS</w:t>
            </w:r>
          </w:p>
        </w:tc>
        <w:tc>
          <w:tcPr>
            <w:tcW w:w="990" w:type="dxa"/>
            <w:shd w:val="clear" w:color="auto" w:fill="auto"/>
            <w:noWrap/>
            <w:vAlign w:val="bottom"/>
            <w:hideMark/>
          </w:tcPr>
          <w:p w14:paraId="13C559F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c>
          <w:tcPr>
            <w:tcW w:w="1260" w:type="dxa"/>
            <w:shd w:val="clear" w:color="auto" w:fill="auto"/>
            <w:noWrap/>
            <w:vAlign w:val="bottom"/>
            <w:hideMark/>
          </w:tcPr>
          <w:p w14:paraId="1518826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18</w:t>
            </w:r>
          </w:p>
        </w:tc>
      </w:tr>
      <w:tr w:rsidR="0026405B" w:rsidRPr="0026405B" w14:paraId="74EE8D20" w14:textId="77777777" w:rsidTr="007456F3">
        <w:trPr>
          <w:trHeight w:val="288"/>
        </w:trPr>
        <w:tc>
          <w:tcPr>
            <w:tcW w:w="7825" w:type="dxa"/>
            <w:shd w:val="clear" w:color="auto" w:fill="auto"/>
            <w:noWrap/>
            <w:vAlign w:val="bottom"/>
            <w:hideMark/>
          </w:tcPr>
          <w:p w14:paraId="5D3A968E"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25 MG GLOB</w:t>
            </w:r>
          </w:p>
        </w:tc>
        <w:tc>
          <w:tcPr>
            <w:tcW w:w="990" w:type="dxa"/>
            <w:shd w:val="clear" w:color="auto" w:fill="auto"/>
            <w:noWrap/>
            <w:vAlign w:val="bottom"/>
            <w:hideMark/>
          </w:tcPr>
          <w:p w14:paraId="2BAEBBC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c>
          <w:tcPr>
            <w:tcW w:w="1260" w:type="dxa"/>
            <w:shd w:val="clear" w:color="auto" w:fill="auto"/>
            <w:noWrap/>
            <w:vAlign w:val="bottom"/>
            <w:hideMark/>
          </w:tcPr>
          <w:p w14:paraId="6965796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6</w:t>
            </w:r>
          </w:p>
        </w:tc>
      </w:tr>
      <w:tr w:rsidR="0026405B" w:rsidRPr="0026405B" w14:paraId="1A3D97EE" w14:textId="77777777" w:rsidTr="007456F3">
        <w:trPr>
          <w:trHeight w:val="288"/>
        </w:trPr>
        <w:tc>
          <w:tcPr>
            <w:tcW w:w="7825" w:type="dxa"/>
            <w:shd w:val="clear" w:color="auto" w:fill="auto"/>
            <w:noWrap/>
            <w:vAlign w:val="bottom"/>
            <w:hideMark/>
          </w:tcPr>
          <w:p w14:paraId="7EA8ED5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25 MG STRI</w:t>
            </w:r>
          </w:p>
        </w:tc>
        <w:tc>
          <w:tcPr>
            <w:tcW w:w="990" w:type="dxa"/>
            <w:shd w:val="clear" w:color="auto" w:fill="auto"/>
            <w:noWrap/>
            <w:vAlign w:val="bottom"/>
            <w:hideMark/>
          </w:tcPr>
          <w:p w14:paraId="31A7535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c>
          <w:tcPr>
            <w:tcW w:w="1260" w:type="dxa"/>
            <w:shd w:val="clear" w:color="auto" w:fill="auto"/>
            <w:noWrap/>
            <w:vAlign w:val="bottom"/>
            <w:hideMark/>
          </w:tcPr>
          <w:p w14:paraId="7B34235D"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6</w:t>
            </w:r>
          </w:p>
        </w:tc>
      </w:tr>
      <w:tr w:rsidR="0026405B" w:rsidRPr="0026405B" w14:paraId="4348F57C" w14:textId="77777777" w:rsidTr="007456F3">
        <w:trPr>
          <w:trHeight w:val="288"/>
        </w:trPr>
        <w:tc>
          <w:tcPr>
            <w:tcW w:w="7825" w:type="dxa"/>
            <w:shd w:val="clear" w:color="auto" w:fill="auto"/>
            <w:noWrap/>
            <w:vAlign w:val="bottom"/>
            <w:hideMark/>
          </w:tcPr>
          <w:p w14:paraId="47FA43BA"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50 MG ROXA</w:t>
            </w:r>
          </w:p>
        </w:tc>
        <w:tc>
          <w:tcPr>
            <w:tcW w:w="990" w:type="dxa"/>
            <w:shd w:val="clear" w:color="auto" w:fill="auto"/>
            <w:noWrap/>
            <w:vAlign w:val="bottom"/>
            <w:hideMark/>
          </w:tcPr>
          <w:p w14:paraId="67050E3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c>
          <w:tcPr>
            <w:tcW w:w="1260" w:type="dxa"/>
            <w:shd w:val="clear" w:color="auto" w:fill="auto"/>
            <w:noWrap/>
            <w:vAlign w:val="bottom"/>
            <w:hideMark/>
          </w:tcPr>
          <w:p w14:paraId="4800019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r>
      <w:tr w:rsidR="0026405B" w:rsidRPr="0026405B" w14:paraId="19DA2E06" w14:textId="77777777" w:rsidTr="007456F3">
        <w:trPr>
          <w:trHeight w:val="288"/>
        </w:trPr>
        <w:tc>
          <w:tcPr>
            <w:tcW w:w="7825" w:type="dxa"/>
            <w:shd w:val="clear" w:color="auto" w:fill="auto"/>
            <w:noWrap/>
            <w:vAlign w:val="bottom"/>
            <w:hideMark/>
          </w:tcPr>
          <w:p w14:paraId="60FE7FC5"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25 MG ACTA</w:t>
            </w:r>
          </w:p>
        </w:tc>
        <w:tc>
          <w:tcPr>
            <w:tcW w:w="990" w:type="dxa"/>
            <w:shd w:val="clear" w:color="auto" w:fill="auto"/>
            <w:noWrap/>
            <w:vAlign w:val="bottom"/>
            <w:hideMark/>
          </w:tcPr>
          <w:p w14:paraId="1E788DB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c>
          <w:tcPr>
            <w:tcW w:w="1260" w:type="dxa"/>
            <w:shd w:val="clear" w:color="auto" w:fill="auto"/>
            <w:noWrap/>
            <w:vAlign w:val="bottom"/>
            <w:hideMark/>
          </w:tcPr>
          <w:p w14:paraId="11E1ADE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48D19BBA" w14:textId="77777777" w:rsidTr="007456F3">
        <w:trPr>
          <w:trHeight w:val="288"/>
        </w:trPr>
        <w:tc>
          <w:tcPr>
            <w:tcW w:w="7825" w:type="dxa"/>
            <w:shd w:val="clear" w:color="auto" w:fill="auto"/>
            <w:noWrap/>
            <w:vAlign w:val="bottom"/>
            <w:hideMark/>
          </w:tcPr>
          <w:p w14:paraId="6224563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LISPRO PROT &amp; LISPRO (HUMAN) INJ 100 UNIT/ LILL</w:t>
            </w:r>
          </w:p>
        </w:tc>
        <w:tc>
          <w:tcPr>
            <w:tcW w:w="990" w:type="dxa"/>
            <w:shd w:val="clear" w:color="auto" w:fill="auto"/>
            <w:noWrap/>
            <w:vAlign w:val="bottom"/>
            <w:hideMark/>
          </w:tcPr>
          <w:p w14:paraId="270DA65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c>
          <w:tcPr>
            <w:tcW w:w="1260" w:type="dxa"/>
            <w:shd w:val="clear" w:color="auto" w:fill="auto"/>
            <w:noWrap/>
            <w:vAlign w:val="bottom"/>
            <w:hideMark/>
          </w:tcPr>
          <w:p w14:paraId="51B2862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24E2FF6C" w14:textId="77777777" w:rsidTr="007456F3">
        <w:trPr>
          <w:trHeight w:val="288"/>
        </w:trPr>
        <w:tc>
          <w:tcPr>
            <w:tcW w:w="7825" w:type="dxa"/>
            <w:shd w:val="clear" w:color="auto" w:fill="auto"/>
            <w:noWrap/>
            <w:vAlign w:val="bottom"/>
            <w:hideMark/>
          </w:tcPr>
          <w:p w14:paraId="2C4FF75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50 MG GLOB</w:t>
            </w:r>
          </w:p>
        </w:tc>
        <w:tc>
          <w:tcPr>
            <w:tcW w:w="990" w:type="dxa"/>
            <w:shd w:val="clear" w:color="auto" w:fill="auto"/>
            <w:noWrap/>
            <w:vAlign w:val="bottom"/>
            <w:hideMark/>
          </w:tcPr>
          <w:p w14:paraId="12D0134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c>
          <w:tcPr>
            <w:tcW w:w="1260" w:type="dxa"/>
            <w:shd w:val="clear" w:color="auto" w:fill="auto"/>
            <w:noWrap/>
            <w:vAlign w:val="bottom"/>
            <w:hideMark/>
          </w:tcPr>
          <w:p w14:paraId="53815D3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7</w:t>
            </w:r>
          </w:p>
        </w:tc>
      </w:tr>
      <w:tr w:rsidR="0026405B" w:rsidRPr="0026405B" w14:paraId="5AA3428D" w14:textId="77777777" w:rsidTr="007456F3">
        <w:trPr>
          <w:trHeight w:val="288"/>
        </w:trPr>
        <w:tc>
          <w:tcPr>
            <w:tcW w:w="7825" w:type="dxa"/>
            <w:shd w:val="clear" w:color="auto" w:fill="auto"/>
            <w:noWrap/>
            <w:vAlign w:val="bottom"/>
            <w:hideMark/>
          </w:tcPr>
          <w:p w14:paraId="336D9B4A"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GLIPIZIDE-METFORMIN HCL TAB 5-500 MG ACTA</w:t>
            </w:r>
          </w:p>
        </w:tc>
        <w:tc>
          <w:tcPr>
            <w:tcW w:w="990" w:type="dxa"/>
            <w:shd w:val="clear" w:color="auto" w:fill="auto"/>
            <w:noWrap/>
            <w:vAlign w:val="bottom"/>
            <w:hideMark/>
          </w:tcPr>
          <w:p w14:paraId="0EEB438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c>
          <w:tcPr>
            <w:tcW w:w="1260" w:type="dxa"/>
            <w:shd w:val="clear" w:color="auto" w:fill="auto"/>
            <w:noWrap/>
            <w:vAlign w:val="bottom"/>
            <w:hideMark/>
          </w:tcPr>
          <w:p w14:paraId="728B074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r>
      <w:tr w:rsidR="0026405B" w:rsidRPr="0026405B" w14:paraId="50D1D943" w14:textId="77777777" w:rsidTr="007456F3">
        <w:trPr>
          <w:trHeight w:val="288"/>
        </w:trPr>
        <w:tc>
          <w:tcPr>
            <w:tcW w:w="7825" w:type="dxa"/>
            <w:shd w:val="clear" w:color="auto" w:fill="auto"/>
            <w:noWrap/>
            <w:vAlign w:val="bottom"/>
            <w:hideMark/>
          </w:tcPr>
          <w:p w14:paraId="443CFC8E"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50 MG IMPA</w:t>
            </w:r>
          </w:p>
        </w:tc>
        <w:tc>
          <w:tcPr>
            <w:tcW w:w="990" w:type="dxa"/>
            <w:shd w:val="clear" w:color="auto" w:fill="auto"/>
            <w:noWrap/>
            <w:vAlign w:val="bottom"/>
            <w:hideMark/>
          </w:tcPr>
          <w:p w14:paraId="72B1AB8D"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c>
          <w:tcPr>
            <w:tcW w:w="1260" w:type="dxa"/>
            <w:shd w:val="clear" w:color="auto" w:fill="auto"/>
            <w:noWrap/>
            <w:vAlign w:val="bottom"/>
            <w:hideMark/>
          </w:tcPr>
          <w:p w14:paraId="250F238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r>
      <w:tr w:rsidR="0026405B" w:rsidRPr="0026405B" w14:paraId="33509B66" w14:textId="77777777" w:rsidTr="007456F3">
        <w:trPr>
          <w:trHeight w:val="288"/>
        </w:trPr>
        <w:tc>
          <w:tcPr>
            <w:tcW w:w="7825" w:type="dxa"/>
            <w:shd w:val="clear" w:color="auto" w:fill="auto"/>
            <w:noWrap/>
            <w:vAlign w:val="bottom"/>
            <w:hideMark/>
          </w:tcPr>
          <w:p w14:paraId="1D88D188"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lastRenderedPageBreak/>
              <w:t>GLIPIZIDE-METFORMIN HCL TAB 2.5-500 MG MYLA</w:t>
            </w:r>
          </w:p>
        </w:tc>
        <w:tc>
          <w:tcPr>
            <w:tcW w:w="990" w:type="dxa"/>
            <w:shd w:val="clear" w:color="auto" w:fill="auto"/>
            <w:noWrap/>
            <w:vAlign w:val="bottom"/>
            <w:hideMark/>
          </w:tcPr>
          <w:p w14:paraId="24DB215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c>
          <w:tcPr>
            <w:tcW w:w="1260" w:type="dxa"/>
            <w:shd w:val="clear" w:color="auto" w:fill="auto"/>
            <w:noWrap/>
            <w:vAlign w:val="bottom"/>
            <w:hideMark/>
          </w:tcPr>
          <w:p w14:paraId="059B567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r>
      <w:tr w:rsidR="0026405B" w:rsidRPr="0026405B" w14:paraId="37331830" w14:textId="77777777" w:rsidTr="007456F3">
        <w:trPr>
          <w:trHeight w:val="288"/>
        </w:trPr>
        <w:tc>
          <w:tcPr>
            <w:tcW w:w="7825" w:type="dxa"/>
            <w:shd w:val="clear" w:color="auto" w:fill="auto"/>
            <w:noWrap/>
            <w:vAlign w:val="bottom"/>
            <w:hideMark/>
          </w:tcPr>
          <w:p w14:paraId="36666A2D"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25 MG IMPA</w:t>
            </w:r>
          </w:p>
        </w:tc>
        <w:tc>
          <w:tcPr>
            <w:tcW w:w="990" w:type="dxa"/>
            <w:shd w:val="clear" w:color="auto" w:fill="auto"/>
            <w:noWrap/>
            <w:vAlign w:val="bottom"/>
            <w:hideMark/>
          </w:tcPr>
          <w:p w14:paraId="12041D3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c>
          <w:tcPr>
            <w:tcW w:w="1260" w:type="dxa"/>
            <w:shd w:val="clear" w:color="auto" w:fill="auto"/>
            <w:noWrap/>
            <w:vAlign w:val="bottom"/>
            <w:hideMark/>
          </w:tcPr>
          <w:p w14:paraId="42E06FF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r w:rsidR="0026405B" w:rsidRPr="0026405B" w14:paraId="59AE9D1C" w14:textId="77777777" w:rsidTr="007456F3">
        <w:trPr>
          <w:trHeight w:val="288"/>
        </w:trPr>
        <w:tc>
          <w:tcPr>
            <w:tcW w:w="7825" w:type="dxa"/>
            <w:shd w:val="clear" w:color="auto" w:fill="auto"/>
            <w:noWrap/>
            <w:vAlign w:val="bottom"/>
            <w:hideMark/>
          </w:tcPr>
          <w:p w14:paraId="3E33C6A6"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GLIPIZIDE-METFORMIN HCL TAB 2.5-500 MG 2.5-500M WATS</w:t>
            </w:r>
          </w:p>
        </w:tc>
        <w:tc>
          <w:tcPr>
            <w:tcW w:w="990" w:type="dxa"/>
            <w:shd w:val="clear" w:color="auto" w:fill="auto"/>
            <w:noWrap/>
            <w:vAlign w:val="bottom"/>
            <w:hideMark/>
          </w:tcPr>
          <w:p w14:paraId="6358A6A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c>
          <w:tcPr>
            <w:tcW w:w="1260" w:type="dxa"/>
            <w:shd w:val="clear" w:color="auto" w:fill="auto"/>
            <w:noWrap/>
            <w:vAlign w:val="bottom"/>
            <w:hideMark/>
          </w:tcPr>
          <w:p w14:paraId="5AFDE7B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r w:rsidR="0026405B" w:rsidRPr="0026405B" w14:paraId="21B380EC" w14:textId="77777777" w:rsidTr="007456F3">
        <w:trPr>
          <w:trHeight w:val="288"/>
        </w:trPr>
        <w:tc>
          <w:tcPr>
            <w:tcW w:w="7825" w:type="dxa"/>
            <w:shd w:val="clear" w:color="auto" w:fill="auto"/>
            <w:noWrap/>
            <w:vAlign w:val="bottom"/>
            <w:hideMark/>
          </w:tcPr>
          <w:p w14:paraId="1ACE2845"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50 MG ACTA</w:t>
            </w:r>
          </w:p>
        </w:tc>
        <w:tc>
          <w:tcPr>
            <w:tcW w:w="990" w:type="dxa"/>
            <w:shd w:val="clear" w:color="auto" w:fill="auto"/>
            <w:noWrap/>
            <w:vAlign w:val="bottom"/>
            <w:hideMark/>
          </w:tcPr>
          <w:p w14:paraId="71EBA48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7813912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0D242B93" w14:textId="77777777" w:rsidTr="007456F3">
        <w:trPr>
          <w:trHeight w:val="288"/>
        </w:trPr>
        <w:tc>
          <w:tcPr>
            <w:tcW w:w="7825" w:type="dxa"/>
            <w:shd w:val="clear" w:color="auto" w:fill="auto"/>
            <w:noWrap/>
            <w:vAlign w:val="bottom"/>
            <w:hideMark/>
          </w:tcPr>
          <w:p w14:paraId="7E65A0CB"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GLIPIZIDE-METFORMIN HCL TAB 2.5-500 MG ACTA</w:t>
            </w:r>
          </w:p>
        </w:tc>
        <w:tc>
          <w:tcPr>
            <w:tcW w:w="990" w:type="dxa"/>
            <w:shd w:val="clear" w:color="auto" w:fill="auto"/>
            <w:noWrap/>
            <w:vAlign w:val="bottom"/>
            <w:hideMark/>
          </w:tcPr>
          <w:p w14:paraId="1BD67B6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0E4877A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5E9DC6A7" w14:textId="77777777" w:rsidTr="007456F3">
        <w:trPr>
          <w:trHeight w:val="288"/>
        </w:trPr>
        <w:tc>
          <w:tcPr>
            <w:tcW w:w="7825" w:type="dxa"/>
            <w:shd w:val="clear" w:color="auto" w:fill="auto"/>
            <w:noWrap/>
            <w:vAlign w:val="bottom"/>
            <w:hideMark/>
          </w:tcPr>
          <w:p w14:paraId="3FA86651"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ASPART PROT &amp; ASPART (HUMAN) INJ 100 UNIT/ML (7 NOVO</w:t>
            </w:r>
          </w:p>
        </w:tc>
        <w:tc>
          <w:tcPr>
            <w:tcW w:w="990" w:type="dxa"/>
            <w:shd w:val="clear" w:color="auto" w:fill="auto"/>
            <w:noWrap/>
            <w:vAlign w:val="bottom"/>
            <w:hideMark/>
          </w:tcPr>
          <w:p w14:paraId="3A6A08F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10E5E56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2C261D19" w14:textId="77777777" w:rsidTr="007456F3">
        <w:trPr>
          <w:trHeight w:val="288"/>
        </w:trPr>
        <w:tc>
          <w:tcPr>
            <w:tcW w:w="7825" w:type="dxa"/>
            <w:shd w:val="clear" w:color="auto" w:fill="auto"/>
            <w:noWrap/>
            <w:vAlign w:val="bottom"/>
            <w:hideMark/>
          </w:tcPr>
          <w:p w14:paraId="65DADDA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ISOPHANE (HUMAN) INJ 100 UNIT/M LILL</w:t>
            </w:r>
          </w:p>
        </w:tc>
        <w:tc>
          <w:tcPr>
            <w:tcW w:w="990" w:type="dxa"/>
            <w:shd w:val="clear" w:color="auto" w:fill="auto"/>
            <w:noWrap/>
            <w:vAlign w:val="bottom"/>
            <w:hideMark/>
          </w:tcPr>
          <w:p w14:paraId="1875C8C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79A438D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0E944EF2" w14:textId="77777777" w:rsidTr="007456F3">
        <w:trPr>
          <w:trHeight w:val="288"/>
        </w:trPr>
        <w:tc>
          <w:tcPr>
            <w:tcW w:w="7825" w:type="dxa"/>
            <w:shd w:val="clear" w:color="auto" w:fill="auto"/>
            <w:noWrap/>
            <w:vAlign w:val="bottom"/>
            <w:hideMark/>
          </w:tcPr>
          <w:p w14:paraId="4D37258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MIGLITOL TAB 100 MG PFIZ</w:t>
            </w:r>
          </w:p>
        </w:tc>
        <w:tc>
          <w:tcPr>
            <w:tcW w:w="990" w:type="dxa"/>
            <w:shd w:val="clear" w:color="auto" w:fill="auto"/>
            <w:noWrap/>
            <w:vAlign w:val="bottom"/>
            <w:hideMark/>
          </w:tcPr>
          <w:p w14:paraId="57A7263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427145E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07DE3614" w14:textId="77777777" w:rsidTr="007456F3">
        <w:trPr>
          <w:trHeight w:val="288"/>
        </w:trPr>
        <w:tc>
          <w:tcPr>
            <w:tcW w:w="7825" w:type="dxa"/>
            <w:shd w:val="clear" w:color="auto" w:fill="auto"/>
            <w:noWrap/>
            <w:vAlign w:val="bottom"/>
            <w:hideMark/>
          </w:tcPr>
          <w:p w14:paraId="6AA5561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PIOGLITAZONE HCL-GLIMEPIR</w:t>
            </w:r>
          </w:p>
        </w:tc>
        <w:tc>
          <w:tcPr>
            <w:tcW w:w="990" w:type="dxa"/>
            <w:shd w:val="clear" w:color="auto" w:fill="auto"/>
            <w:noWrap/>
            <w:vAlign w:val="bottom"/>
            <w:hideMark/>
          </w:tcPr>
          <w:p w14:paraId="63E437F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45451FB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55817D6E" w14:textId="77777777" w:rsidTr="007456F3">
        <w:trPr>
          <w:trHeight w:val="288"/>
        </w:trPr>
        <w:tc>
          <w:tcPr>
            <w:tcW w:w="7825" w:type="dxa"/>
            <w:shd w:val="clear" w:color="auto" w:fill="auto"/>
            <w:noWrap/>
            <w:vAlign w:val="bottom"/>
            <w:hideMark/>
          </w:tcPr>
          <w:p w14:paraId="72CD502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PRAMLINTIDE ACETATE PEN-INJ 2700 MCG/2.7ML (1000 MCG/ML AMYL</w:t>
            </w:r>
          </w:p>
        </w:tc>
        <w:tc>
          <w:tcPr>
            <w:tcW w:w="990" w:type="dxa"/>
            <w:shd w:val="clear" w:color="auto" w:fill="auto"/>
            <w:noWrap/>
            <w:vAlign w:val="bottom"/>
            <w:hideMark/>
          </w:tcPr>
          <w:p w14:paraId="49885BB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0F33E91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26018D6C" w14:textId="77777777" w:rsidTr="007456F3">
        <w:trPr>
          <w:trHeight w:val="288"/>
        </w:trPr>
        <w:tc>
          <w:tcPr>
            <w:tcW w:w="7825" w:type="dxa"/>
            <w:shd w:val="clear" w:color="auto" w:fill="auto"/>
            <w:noWrap/>
            <w:vAlign w:val="bottom"/>
            <w:hideMark/>
          </w:tcPr>
          <w:p w14:paraId="63B5C4A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SITAGLIPTIN-METFORMIN HCL TAB 50-500 MG MERC</w:t>
            </w:r>
          </w:p>
        </w:tc>
        <w:tc>
          <w:tcPr>
            <w:tcW w:w="990" w:type="dxa"/>
            <w:shd w:val="clear" w:color="auto" w:fill="auto"/>
            <w:noWrap/>
            <w:vAlign w:val="bottom"/>
            <w:hideMark/>
          </w:tcPr>
          <w:p w14:paraId="4F45C60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42CBF84E"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r>
      <w:tr w:rsidR="0026405B" w:rsidRPr="0026405B" w14:paraId="3800C74D" w14:textId="77777777" w:rsidTr="007456F3">
        <w:trPr>
          <w:trHeight w:val="288"/>
        </w:trPr>
        <w:tc>
          <w:tcPr>
            <w:tcW w:w="7825" w:type="dxa"/>
            <w:shd w:val="clear" w:color="auto" w:fill="auto"/>
            <w:noWrap/>
            <w:vAlign w:val="bottom"/>
            <w:hideMark/>
          </w:tcPr>
          <w:p w14:paraId="249B2DD8"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LISPRO SOLN PEN-INJECTOR 100 UNIT/ML LILL</w:t>
            </w:r>
          </w:p>
        </w:tc>
        <w:tc>
          <w:tcPr>
            <w:tcW w:w="990" w:type="dxa"/>
            <w:shd w:val="clear" w:color="auto" w:fill="auto"/>
            <w:noWrap/>
            <w:vAlign w:val="bottom"/>
            <w:hideMark/>
          </w:tcPr>
          <w:p w14:paraId="703A877D"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106CC65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68</w:t>
            </w:r>
          </w:p>
        </w:tc>
      </w:tr>
      <w:tr w:rsidR="0026405B" w:rsidRPr="0026405B" w14:paraId="34A8EC19" w14:textId="77777777" w:rsidTr="007456F3">
        <w:trPr>
          <w:trHeight w:val="288"/>
        </w:trPr>
        <w:tc>
          <w:tcPr>
            <w:tcW w:w="7825" w:type="dxa"/>
            <w:shd w:val="clear" w:color="auto" w:fill="auto"/>
            <w:noWrap/>
            <w:vAlign w:val="bottom"/>
            <w:hideMark/>
          </w:tcPr>
          <w:p w14:paraId="10EA9F7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50 MG ALVO</w:t>
            </w:r>
          </w:p>
        </w:tc>
        <w:tc>
          <w:tcPr>
            <w:tcW w:w="990" w:type="dxa"/>
            <w:shd w:val="clear" w:color="auto" w:fill="auto"/>
            <w:noWrap/>
            <w:vAlign w:val="bottom"/>
            <w:hideMark/>
          </w:tcPr>
          <w:p w14:paraId="13F3EDC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0FF4929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23</w:t>
            </w:r>
          </w:p>
        </w:tc>
      </w:tr>
      <w:tr w:rsidR="0026405B" w:rsidRPr="0026405B" w14:paraId="45953B3B" w14:textId="77777777" w:rsidTr="007456F3">
        <w:trPr>
          <w:trHeight w:val="288"/>
        </w:trPr>
        <w:tc>
          <w:tcPr>
            <w:tcW w:w="7825" w:type="dxa"/>
            <w:shd w:val="clear" w:color="auto" w:fill="auto"/>
            <w:noWrap/>
            <w:vAlign w:val="bottom"/>
            <w:hideMark/>
          </w:tcPr>
          <w:p w14:paraId="4F763FDE"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ASPART INJ 100 UNIT/ML NOVO</w:t>
            </w:r>
          </w:p>
        </w:tc>
        <w:tc>
          <w:tcPr>
            <w:tcW w:w="990" w:type="dxa"/>
            <w:shd w:val="clear" w:color="auto" w:fill="auto"/>
            <w:noWrap/>
            <w:vAlign w:val="bottom"/>
            <w:hideMark/>
          </w:tcPr>
          <w:p w14:paraId="067CF7C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03393AE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7</w:t>
            </w:r>
          </w:p>
        </w:tc>
      </w:tr>
      <w:tr w:rsidR="0026405B" w:rsidRPr="0026405B" w14:paraId="7F1625CE" w14:textId="77777777" w:rsidTr="007456F3">
        <w:trPr>
          <w:trHeight w:val="288"/>
        </w:trPr>
        <w:tc>
          <w:tcPr>
            <w:tcW w:w="7825" w:type="dxa"/>
            <w:shd w:val="clear" w:color="auto" w:fill="auto"/>
            <w:noWrap/>
            <w:vAlign w:val="bottom"/>
            <w:hideMark/>
          </w:tcPr>
          <w:p w14:paraId="090E30B0"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25 MG ROXA</w:t>
            </w:r>
          </w:p>
        </w:tc>
        <w:tc>
          <w:tcPr>
            <w:tcW w:w="990" w:type="dxa"/>
            <w:shd w:val="clear" w:color="auto" w:fill="auto"/>
            <w:noWrap/>
            <w:vAlign w:val="bottom"/>
            <w:hideMark/>
          </w:tcPr>
          <w:p w14:paraId="006E89C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2BA8A03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6</w:t>
            </w:r>
          </w:p>
        </w:tc>
      </w:tr>
      <w:tr w:rsidR="0026405B" w:rsidRPr="0026405B" w14:paraId="7D0580AF" w14:textId="77777777" w:rsidTr="007456F3">
        <w:trPr>
          <w:trHeight w:val="288"/>
        </w:trPr>
        <w:tc>
          <w:tcPr>
            <w:tcW w:w="7825" w:type="dxa"/>
            <w:shd w:val="clear" w:color="auto" w:fill="auto"/>
            <w:noWrap/>
            <w:vAlign w:val="bottom"/>
            <w:hideMark/>
          </w:tcPr>
          <w:p w14:paraId="0FB54969"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SR 24HR 5 MG ACTA</w:t>
            </w:r>
          </w:p>
        </w:tc>
        <w:tc>
          <w:tcPr>
            <w:tcW w:w="990" w:type="dxa"/>
            <w:shd w:val="clear" w:color="auto" w:fill="auto"/>
            <w:noWrap/>
            <w:vAlign w:val="bottom"/>
            <w:hideMark/>
          </w:tcPr>
          <w:p w14:paraId="38CDFCDD"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516A7B3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6</w:t>
            </w:r>
          </w:p>
        </w:tc>
      </w:tr>
      <w:tr w:rsidR="0026405B" w:rsidRPr="0026405B" w14:paraId="18C3808D" w14:textId="77777777" w:rsidTr="007456F3">
        <w:trPr>
          <w:trHeight w:val="288"/>
        </w:trPr>
        <w:tc>
          <w:tcPr>
            <w:tcW w:w="7825" w:type="dxa"/>
            <w:shd w:val="clear" w:color="auto" w:fill="auto"/>
            <w:noWrap/>
            <w:vAlign w:val="bottom"/>
            <w:hideMark/>
          </w:tcPr>
          <w:p w14:paraId="5726B102"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GLIPIZIDE-METFORMIN HCL TAB 2.5-250 MG 2.5-250M TEVA</w:t>
            </w:r>
          </w:p>
        </w:tc>
        <w:tc>
          <w:tcPr>
            <w:tcW w:w="990" w:type="dxa"/>
            <w:shd w:val="clear" w:color="auto" w:fill="auto"/>
            <w:noWrap/>
            <w:vAlign w:val="bottom"/>
            <w:hideMark/>
          </w:tcPr>
          <w:p w14:paraId="0261884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72B4AFA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r>
      <w:tr w:rsidR="0026405B" w:rsidRPr="0026405B" w14:paraId="52757A49" w14:textId="77777777" w:rsidTr="007456F3">
        <w:trPr>
          <w:trHeight w:val="288"/>
        </w:trPr>
        <w:tc>
          <w:tcPr>
            <w:tcW w:w="7825" w:type="dxa"/>
            <w:shd w:val="clear" w:color="auto" w:fill="auto"/>
            <w:noWrap/>
            <w:vAlign w:val="bottom"/>
            <w:hideMark/>
          </w:tcPr>
          <w:p w14:paraId="1F275467"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50 MG STRI</w:t>
            </w:r>
          </w:p>
        </w:tc>
        <w:tc>
          <w:tcPr>
            <w:tcW w:w="990" w:type="dxa"/>
            <w:shd w:val="clear" w:color="auto" w:fill="auto"/>
            <w:noWrap/>
            <w:vAlign w:val="bottom"/>
            <w:hideMark/>
          </w:tcPr>
          <w:p w14:paraId="42DDA93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4CB18CD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r w:rsidR="0026405B" w:rsidRPr="0026405B" w14:paraId="63946936" w14:textId="77777777" w:rsidTr="007456F3">
        <w:trPr>
          <w:trHeight w:val="288"/>
        </w:trPr>
        <w:tc>
          <w:tcPr>
            <w:tcW w:w="7825" w:type="dxa"/>
            <w:shd w:val="clear" w:color="auto" w:fill="auto"/>
            <w:noWrap/>
            <w:vAlign w:val="bottom"/>
            <w:hideMark/>
          </w:tcPr>
          <w:p w14:paraId="7FE11C5B"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GLIPIZIDE-METFORMIN HCL TAB 2.5-500 MG 2.5-500M MYLA</w:t>
            </w:r>
          </w:p>
        </w:tc>
        <w:tc>
          <w:tcPr>
            <w:tcW w:w="990" w:type="dxa"/>
            <w:shd w:val="clear" w:color="auto" w:fill="auto"/>
            <w:noWrap/>
            <w:vAlign w:val="bottom"/>
            <w:hideMark/>
          </w:tcPr>
          <w:p w14:paraId="7A09C71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c>
          <w:tcPr>
            <w:tcW w:w="1260" w:type="dxa"/>
            <w:shd w:val="clear" w:color="auto" w:fill="auto"/>
            <w:noWrap/>
            <w:vAlign w:val="bottom"/>
            <w:hideMark/>
          </w:tcPr>
          <w:p w14:paraId="6427BD4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r w:rsidR="0026405B" w:rsidRPr="0026405B" w14:paraId="50954222" w14:textId="77777777" w:rsidTr="007456F3">
        <w:trPr>
          <w:trHeight w:val="288"/>
        </w:trPr>
        <w:tc>
          <w:tcPr>
            <w:tcW w:w="7825" w:type="dxa"/>
            <w:shd w:val="clear" w:color="auto" w:fill="auto"/>
            <w:noWrap/>
            <w:vAlign w:val="bottom"/>
            <w:hideMark/>
          </w:tcPr>
          <w:p w14:paraId="4F952D75"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NPH &amp; REGULAR SUSP PEN-INJ 100 UNIT/ML (70-30) LILL</w:t>
            </w:r>
          </w:p>
        </w:tc>
        <w:tc>
          <w:tcPr>
            <w:tcW w:w="990" w:type="dxa"/>
            <w:shd w:val="clear" w:color="auto" w:fill="auto"/>
            <w:noWrap/>
            <w:vAlign w:val="bottom"/>
            <w:hideMark/>
          </w:tcPr>
          <w:p w14:paraId="28FDD07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2C338C2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61</w:t>
            </w:r>
          </w:p>
        </w:tc>
      </w:tr>
      <w:tr w:rsidR="0026405B" w:rsidRPr="0026405B" w14:paraId="5E657F65" w14:textId="77777777" w:rsidTr="007456F3">
        <w:trPr>
          <w:trHeight w:val="288"/>
        </w:trPr>
        <w:tc>
          <w:tcPr>
            <w:tcW w:w="7825" w:type="dxa"/>
            <w:shd w:val="clear" w:color="auto" w:fill="auto"/>
            <w:noWrap/>
            <w:vAlign w:val="bottom"/>
            <w:hideMark/>
          </w:tcPr>
          <w:p w14:paraId="0916FD81"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ER 24HR 5 MG ACTA</w:t>
            </w:r>
          </w:p>
        </w:tc>
        <w:tc>
          <w:tcPr>
            <w:tcW w:w="990" w:type="dxa"/>
            <w:shd w:val="clear" w:color="auto" w:fill="auto"/>
            <w:noWrap/>
            <w:vAlign w:val="bottom"/>
            <w:hideMark/>
          </w:tcPr>
          <w:p w14:paraId="5207E79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144CB91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25</w:t>
            </w:r>
          </w:p>
        </w:tc>
      </w:tr>
      <w:tr w:rsidR="0026405B" w:rsidRPr="0026405B" w14:paraId="585C959B" w14:textId="77777777" w:rsidTr="007456F3">
        <w:trPr>
          <w:trHeight w:val="288"/>
        </w:trPr>
        <w:tc>
          <w:tcPr>
            <w:tcW w:w="7825" w:type="dxa"/>
            <w:shd w:val="clear" w:color="auto" w:fill="auto"/>
            <w:noWrap/>
            <w:vAlign w:val="bottom"/>
            <w:hideMark/>
          </w:tcPr>
          <w:p w14:paraId="76D52FF0"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25 MG ALVO</w:t>
            </w:r>
          </w:p>
        </w:tc>
        <w:tc>
          <w:tcPr>
            <w:tcW w:w="990" w:type="dxa"/>
            <w:shd w:val="clear" w:color="auto" w:fill="auto"/>
            <w:noWrap/>
            <w:vAlign w:val="bottom"/>
            <w:hideMark/>
          </w:tcPr>
          <w:p w14:paraId="6B9CF9C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00264CCA"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24</w:t>
            </w:r>
          </w:p>
        </w:tc>
      </w:tr>
      <w:tr w:rsidR="0026405B" w:rsidRPr="0026405B" w14:paraId="24690EE1" w14:textId="77777777" w:rsidTr="007456F3">
        <w:trPr>
          <w:trHeight w:val="288"/>
        </w:trPr>
        <w:tc>
          <w:tcPr>
            <w:tcW w:w="7825" w:type="dxa"/>
            <w:shd w:val="clear" w:color="auto" w:fill="auto"/>
            <w:noWrap/>
            <w:vAlign w:val="bottom"/>
            <w:hideMark/>
          </w:tcPr>
          <w:p w14:paraId="72E44C4D"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100 MG ALVO</w:t>
            </w:r>
          </w:p>
        </w:tc>
        <w:tc>
          <w:tcPr>
            <w:tcW w:w="990" w:type="dxa"/>
            <w:shd w:val="clear" w:color="auto" w:fill="auto"/>
            <w:noWrap/>
            <w:vAlign w:val="bottom"/>
            <w:hideMark/>
          </w:tcPr>
          <w:p w14:paraId="3B500AE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08BF0D2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17</w:t>
            </w:r>
          </w:p>
        </w:tc>
      </w:tr>
      <w:tr w:rsidR="0026405B" w:rsidRPr="0026405B" w14:paraId="0DF15D67" w14:textId="77777777" w:rsidTr="007456F3">
        <w:trPr>
          <w:trHeight w:val="288"/>
        </w:trPr>
        <w:tc>
          <w:tcPr>
            <w:tcW w:w="7825" w:type="dxa"/>
            <w:shd w:val="clear" w:color="auto" w:fill="auto"/>
            <w:noWrap/>
            <w:vAlign w:val="bottom"/>
            <w:hideMark/>
          </w:tcPr>
          <w:p w14:paraId="6D6C828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DAPAGLIFLOZIN PROPANEDIOL TAB 5 MG (BASE EQUIVALENT) ASTR</w:t>
            </w:r>
          </w:p>
        </w:tc>
        <w:tc>
          <w:tcPr>
            <w:tcW w:w="990" w:type="dxa"/>
            <w:shd w:val="clear" w:color="auto" w:fill="auto"/>
            <w:noWrap/>
            <w:vAlign w:val="bottom"/>
            <w:hideMark/>
          </w:tcPr>
          <w:p w14:paraId="76D9AA5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17680E1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17</w:t>
            </w:r>
          </w:p>
        </w:tc>
      </w:tr>
      <w:tr w:rsidR="0026405B" w:rsidRPr="0026405B" w14:paraId="07F49FC7" w14:textId="77777777" w:rsidTr="007456F3">
        <w:trPr>
          <w:trHeight w:val="288"/>
        </w:trPr>
        <w:tc>
          <w:tcPr>
            <w:tcW w:w="7825" w:type="dxa"/>
            <w:shd w:val="clear" w:color="auto" w:fill="auto"/>
            <w:noWrap/>
            <w:vAlign w:val="bottom"/>
            <w:hideMark/>
          </w:tcPr>
          <w:p w14:paraId="7F98F21C"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ER 24HR 10 MG ACTA</w:t>
            </w:r>
          </w:p>
        </w:tc>
        <w:tc>
          <w:tcPr>
            <w:tcW w:w="990" w:type="dxa"/>
            <w:shd w:val="clear" w:color="auto" w:fill="auto"/>
            <w:noWrap/>
            <w:vAlign w:val="bottom"/>
            <w:hideMark/>
          </w:tcPr>
          <w:p w14:paraId="298D172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24BD29AD"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14</w:t>
            </w:r>
          </w:p>
        </w:tc>
      </w:tr>
      <w:tr w:rsidR="0026405B" w:rsidRPr="0026405B" w14:paraId="404285B7" w14:textId="77777777" w:rsidTr="007456F3">
        <w:trPr>
          <w:trHeight w:val="288"/>
        </w:trPr>
        <w:tc>
          <w:tcPr>
            <w:tcW w:w="7825" w:type="dxa"/>
            <w:shd w:val="clear" w:color="auto" w:fill="auto"/>
            <w:noWrap/>
            <w:vAlign w:val="bottom"/>
            <w:hideMark/>
          </w:tcPr>
          <w:p w14:paraId="4EA2452C"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TOLAZAMIDE TAB 500 MG MYLA</w:t>
            </w:r>
          </w:p>
        </w:tc>
        <w:tc>
          <w:tcPr>
            <w:tcW w:w="990" w:type="dxa"/>
            <w:shd w:val="clear" w:color="auto" w:fill="auto"/>
            <w:noWrap/>
            <w:vAlign w:val="bottom"/>
            <w:hideMark/>
          </w:tcPr>
          <w:p w14:paraId="4244857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59C045C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13</w:t>
            </w:r>
          </w:p>
        </w:tc>
      </w:tr>
      <w:tr w:rsidR="0026405B" w:rsidRPr="0026405B" w14:paraId="3E448442" w14:textId="77777777" w:rsidTr="007456F3">
        <w:trPr>
          <w:trHeight w:val="288"/>
        </w:trPr>
        <w:tc>
          <w:tcPr>
            <w:tcW w:w="7825" w:type="dxa"/>
            <w:shd w:val="clear" w:color="auto" w:fill="auto"/>
            <w:noWrap/>
            <w:vAlign w:val="bottom"/>
            <w:hideMark/>
          </w:tcPr>
          <w:p w14:paraId="531098D1"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ASPART SOLN PEN-INJECTOR 100 UNIT/ML NOVO</w:t>
            </w:r>
          </w:p>
        </w:tc>
        <w:tc>
          <w:tcPr>
            <w:tcW w:w="990" w:type="dxa"/>
            <w:shd w:val="clear" w:color="auto" w:fill="auto"/>
            <w:noWrap/>
            <w:vAlign w:val="bottom"/>
            <w:hideMark/>
          </w:tcPr>
          <w:p w14:paraId="3EC373E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6B412C11"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12</w:t>
            </w:r>
          </w:p>
        </w:tc>
      </w:tr>
      <w:tr w:rsidR="0026405B" w:rsidRPr="0026405B" w14:paraId="71386797" w14:textId="77777777" w:rsidTr="007456F3">
        <w:trPr>
          <w:trHeight w:val="288"/>
        </w:trPr>
        <w:tc>
          <w:tcPr>
            <w:tcW w:w="7825" w:type="dxa"/>
            <w:shd w:val="clear" w:color="auto" w:fill="auto"/>
            <w:noWrap/>
            <w:vAlign w:val="bottom"/>
            <w:hideMark/>
          </w:tcPr>
          <w:p w14:paraId="6592AA05"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REGULAR (HUMAN) SOLN PEN-INJECTOR 500 UNIT/ML LILL</w:t>
            </w:r>
          </w:p>
        </w:tc>
        <w:tc>
          <w:tcPr>
            <w:tcW w:w="990" w:type="dxa"/>
            <w:shd w:val="clear" w:color="auto" w:fill="auto"/>
            <w:noWrap/>
            <w:vAlign w:val="bottom"/>
            <w:hideMark/>
          </w:tcPr>
          <w:p w14:paraId="46917E0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569D725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10</w:t>
            </w:r>
          </w:p>
        </w:tc>
      </w:tr>
      <w:tr w:rsidR="0026405B" w:rsidRPr="0026405B" w14:paraId="45406C70" w14:textId="77777777" w:rsidTr="007456F3">
        <w:trPr>
          <w:trHeight w:val="288"/>
        </w:trPr>
        <w:tc>
          <w:tcPr>
            <w:tcW w:w="7825" w:type="dxa"/>
            <w:shd w:val="clear" w:color="auto" w:fill="auto"/>
            <w:noWrap/>
            <w:vAlign w:val="bottom"/>
            <w:hideMark/>
          </w:tcPr>
          <w:p w14:paraId="1BEB12F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DIAZOXIDE SUSP 50 MG/ML TEVA</w:t>
            </w:r>
          </w:p>
        </w:tc>
        <w:tc>
          <w:tcPr>
            <w:tcW w:w="990" w:type="dxa"/>
            <w:shd w:val="clear" w:color="auto" w:fill="auto"/>
            <w:noWrap/>
            <w:vAlign w:val="bottom"/>
            <w:hideMark/>
          </w:tcPr>
          <w:p w14:paraId="2442E14D"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34CA057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9</w:t>
            </w:r>
          </w:p>
        </w:tc>
      </w:tr>
      <w:tr w:rsidR="0026405B" w:rsidRPr="0026405B" w14:paraId="1027B0B8" w14:textId="77777777" w:rsidTr="007456F3">
        <w:trPr>
          <w:trHeight w:val="288"/>
        </w:trPr>
        <w:tc>
          <w:tcPr>
            <w:tcW w:w="7825" w:type="dxa"/>
            <w:shd w:val="clear" w:color="auto" w:fill="auto"/>
            <w:noWrap/>
            <w:vAlign w:val="bottom"/>
            <w:hideMark/>
          </w:tcPr>
          <w:p w14:paraId="538CE618"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LINAGLIPTIN-METFORMIN HCL TAB 2.5-1,000 MG BOEH</w:t>
            </w:r>
          </w:p>
        </w:tc>
        <w:tc>
          <w:tcPr>
            <w:tcW w:w="990" w:type="dxa"/>
            <w:shd w:val="clear" w:color="auto" w:fill="auto"/>
            <w:noWrap/>
            <w:vAlign w:val="bottom"/>
            <w:hideMark/>
          </w:tcPr>
          <w:p w14:paraId="5F6405A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1B39B6D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9</w:t>
            </w:r>
          </w:p>
        </w:tc>
      </w:tr>
      <w:tr w:rsidR="0026405B" w:rsidRPr="0026405B" w14:paraId="2CD950B7" w14:textId="77777777" w:rsidTr="007456F3">
        <w:trPr>
          <w:trHeight w:val="288"/>
        </w:trPr>
        <w:tc>
          <w:tcPr>
            <w:tcW w:w="7825" w:type="dxa"/>
            <w:shd w:val="clear" w:color="auto" w:fill="auto"/>
            <w:noWrap/>
            <w:vAlign w:val="bottom"/>
            <w:hideMark/>
          </w:tcPr>
          <w:p w14:paraId="5DB3442E"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ISOPHANE &amp; REGULAR SUSP PEN-INJ 100 UNIT/ML (70 LILL</w:t>
            </w:r>
          </w:p>
        </w:tc>
        <w:tc>
          <w:tcPr>
            <w:tcW w:w="990" w:type="dxa"/>
            <w:shd w:val="clear" w:color="auto" w:fill="auto"/>
            <w:noWrap/>
            <w:vAlign w:val="bottom"/>
            <w:hideMark/>
          </w:tcPr>
          <w:p w14:paraId="414B818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08B5430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r>
      <w:tr w:rsidR="0026405B" w:rsidRPr="0026405B" w14:paraId="60BAE6E8" w14:textId="77777777" w:rsidTr="007456F3">
        <w:trPr>
          <w:trHeight w:val="288"/>
        </w:trPr>
        <w:tc>
          <w:tcPr>
            <w:tcW w:w="7825" w:type="dxa"/>
            <w:shd w:val="clear" w:color="auto" w:fill="auto"/>
            <w:noWrap/>
            <w:vAlign w:val="bottom"/>
            <w:hideMark/>
          </w:tcPr>
          <w:p w14:paraId="27FA48E9"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MIGLITOL TAB 25 MG PFIZ</w:t>
            </w:r>
          </w:p>
        </w:tc>
        <w:tc>
          <w:tcPr>
            <w:tcW w:w="990" w:type="dxa"/>
            <w:shd w:val="clear" w:color="auto" w:fill="auto"/>
            <w:noWrap/>
            <w:vAlign w:val="bottom"/>
            <w:hideMark/>
          </w:tcPr>
          <w:p w14:paraId="47CBD09C"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710ED2D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r>
      <w:tr w:rsidR="0026405B" w:rsidRPr="0026405B" w14:paraId="3472F71A" w14:textId="77777777" w:rsidTr="007456F3">
        <w:trPr>
          <w:trHeight w:val="288"/>
        </w:trPr>
        <w:tc>
          <w:tcPr>
            <w:tcW w:w="7825" w:type="dxa"/>
            <w:shd w:val="clear" w:color="auto" w:fill="auto"/>
            <w:noWrap/>
            <w:vAlign w:val="bottom"/>
            <w:hideMark/>
          </w:tcPr>
          <w:p w14:paraId="7D392EAA"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SITAGLIPTIN PHOSPHATE TAB 25 MG (BASE EQUIV) MERC</w:t>
            </w:r>
          </w:p>
        </w:tc>
        <w:tc>
          <w:tcPr>
            <w:tcW w:w="990" w:type="dxa"/>
            <w:shd w:val="clear" w:color="auto" w:fill="auto"/>
            <w:noWrap/>
            <w:vAlign w:val="bottom"/>
            <w:hideMark/>
          </w:tcPr>
          <w:p w14:paraId="15C02E8A"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08C6248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4</w:t>
            </w:r>
          </w:p>
        </w:tc>
      </w:tr>
      <w:tr w:rsidR="0026405B" w:rsidRPr="0026405B" w14:paraId="42D35456" w14:textId="77777777" w:rsidTr="007456F3">
        <w:trPr>
          <w:trHeight w:val="288"/>
        </w:trPr>
        <w:tc>
          <w:tcPr>
            <w:tcW w:w="7825" w:type="dxa"/>
            <w:shd w:val="clear" w:color="auto" w:fill="auto"/>
            <w:noWrap/>
            <w:vAlign w:val="bottom"/>
            <w:hideMark/>
          </w:tcPr>
          <w:p w14:paraId="397E678E"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25 MG VIRT</w:t>
            </w:r>
          </w:p>
        </w:tc>
        <w:tc>
          <w:tcPr>
            <w:tcW w:w="990" w:type="dxa"/>
            <w:shd w:val="clear" w:color="auto" w:fill="auto"/>
            <w:noWrap/>
            <w:vAlign w:val="bottom"/>
            <w:hideMark/>
          </w:tcPr>
          <w:p w14:paraId="4157748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531E0C8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r>
      <w:tr w:rsidR="0026405B" w:rsidRPr="0026405B" w14:paraId="213DDDB2" w14:textId="77777777" w:rsidTr="007456F3">
        <w:trPr>
          <w:trHeight w:val="288"/>
        </w:trPr>
        <w:tc>
          <w:tcPr>
            <w:tcW w:w="7825" w:type="dxa"/>
            <w:shd w:val="clear" w:color="auto" w:fill="auto"/>
            <w:noWrap/>
            <w:vAlign w:val="bottom"/>
            <w:hideMark/>
          </w:tcPr>
          <w:p w14:paraId="4057310C"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DIAZOXIDE SUSP 50 MG/ML GATE</w:t>
            </w:r>
          </w:p>
        </w:tc>
        <w:tc>
          <w:tcPr>
            <w:tcW w:w="990" w:type="dxa"/>
            <w:shd w:val="clear" w:color="auto" w:fill="auto"/>
            <w:noWrap/>
            <w:vAlign w:val="bottom"/>
            <w:hideMark/>
          </w:tcPr>
          <w:p w14:paraId="6C016FF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0E31A2C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r>
      <w:tr w:rsidR="0026405B" w:rsidRPr="0026405B" w14:paraId="3D3448F4" w14:textId="77777777" w:rsidTr="007456F3">
        <w:trPr>
          <w:trHeight w:val="288"/>
        </w:trPr>
        <w:tc>
          <w:tcPr>
            <w:tcW w:w="7825" w:type="dxa"/>
            <w:shd w:val="clear" w:color="auto" w:fill="auto"/>
            <w:noWrap/>
            <w:vAlign w:val="bottom"/>
            <w:hideMark/>
          </w:tcPr>
          <w:p w14:paraId="5D6EBAB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ER 24HR 2.5 MG ACTA</w:t>
            </w:r>
          </w:p>
        </w:tc>
        <w:tc>
          <w:tcPr>
            <w:tcW w:w="990" w:type="dxa"/>
            <w:shd w:val="clear" w:color="auto" w:fill="auto"/>
            <w:noWrap/>
            <w:vAlign w:val="bottom"/>
            <w:hideMark/>
          </w:tcPr>
          <w:p w14:paraId="7BFF1D5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0516227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r>
      <w:tr w:rsidR="0026405B" w:rsidRPr="0026405B" w14:paraId="6799E649" w14:textId="77777777" w:rsidTr="007456F3">
        <w:trPr>
          <w:trHeight w:val="288"/>
        </w:trPr>
        <w:tc>
          <w:tcPr>
            <w:tcW w:w="7825" w:type="dxa"/>
            <w:shd w:val="clear" w:color="auto" w:fill="auto"/>
            <w:noWrap/>
            <w:vAlign w:val="bottom"/>
            <w:hideMark/>
          </w:tcPr>
          <w:p w14:paraId="19DF94CE"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GLIPIZIDE-METFORMIN HCL TAB 2.5-250 MG ACTA</w:t>
            </w:r>
          </w:p>
        </w:tc>
        <w:tc>
          <w:tcPr>
            <w:tcW w:w="990" w:type="dxa"/>
            <w:shd w:val="clear" w:color="auto" w:fill="auto"/>
            <w:noWrap/>
            <w:vAlign w:val="bottom"/>
            <w:hideMark/>
          </w:tcPr>
          <w:p w14:paraId="315C665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40CF310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r>
      <w:tr w:rsidR="0026405B" w:rsidRPr="0026405B" w14:paraId="7EE1171C" w14:textId="77777777" w:rsidTr="007456F3">
        <w:trPr>
          <w:trHeight w:val="288"/>
        </w:trPr>
        <w:tc>
          <w:tcPr>
            <w:tcW w:w="7825" w:type="dxa"/>
            <w:shd w:val="clear" w:color="auto" w:fill="auto"/>
            <w:noWrap/>
            <w:vAlign w:val="bottom"/>
            <w:hideMark/>
          </w:tcPr>
          <w:p w14:paraId="1624768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GLIPIZIDE-METFORMIN HCL TAB 2.5-250 MG WATS</w:t>
            </w:r>
          </w:p>
        </w:tc>
        <w:tc>
          <w:tcPr>
            <w:tcW w:w="990" w:type="dxa"/>
            <w:shd w:val="clear" w:color="auto" w:fill="auto"/>
            <w:noWrap/>
            <w:vAlign w:val="bottom"/>
            <w:hideMark/>
          </w:tcPr>
          <w:p w14:paraId="0FE4FEF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5F168B0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r>
      <w:tr w:rsidR="0026405B" w:rsidRPr="0026405B" w14:paraId="5269DCE5" w14:textId="77777777" w:rsidTr="007456F3">
        <w:trPr>
          <w:trHeight w:val="288"/>
        </w:trPr>
        <w:tc>
          <w:tcPr>
            <w:tcW w:w="7825" w:type="dxa"/>
            <w:shd w:val="clear" w:color="auto" w:fill="auto"/>
            <w:noWrap/>
            <w:vAlign w:val="bottom"/>
            <w:hideMark/>
          </w:tcPr>
          <w:p w14:paraId="1C407F84"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MIGLITOL TAB 50 MG PFIZ</w:t>
            </w:r>
          </w:p>
        </w:tc>
        <w:tc>
          <w:tcPr>
            <w:tcW w:w="990" w:type="dxa"/>
            <w:shd w:val="clear" w:color="auto" w:fill="auto"/>
            <w:noWrap/>
            <w:vAlign w:val="bottom"/>
            <w:hideMark/>
          </w:tcPr>
          <w:p w14:paraId="7168A59F"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56A6A737"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3</w:t>
            </w:r>
          </w:p>
        </w:tc>
      </w:tr>
      <w:tr w:rsidR="0026405B" w:rsidRPr="0026405B" w14:paraId="6BF39E8D" w14:textId="77777777" w:rsidTr="007456F3">
        <w:trPr>
          <w:trHeight w:val="288"/>
        </w:trPr>
        <w:tc>
          <w:tcPr>
            <w:tcW w:w="7825" w:type="dxa"/>
            <w:shd w:val="clear" w:color="auto" w:fill="auto"/>
            <w:noWrap/>
            <w:vAlign w:val="bottom"/>
            <w:hideMark/>
          </w:tcPr>
          <w:p w14:paraId="424C16F5"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GLIMEPIRIDE TAB 2 MG ACCO</w:t>
            </w:r>
          </w:p>
        </w:tc>
        <w:tc>
          <w:tcPr>
            <w:tcW w:w="990" w:type="dxa"/>
            <w:shd w:val="clear" w:color="auto" w:fill="auto"/>
            <w:noWrap/>
            <w:vAlign w:val="bottom"/>
            <w:hideMark/>
          </w:tcPr>
          <w:p w14:paraId="7C197FB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7945204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r>
      <w:tr w:rsidR="0026405B" w:rsidRPr="0026405B" w14:paraId="37CF761B" w14:textId="77777777" w:rsidTr="007456F3">
        <w:trPr>
          <w:trHeight w:val="288"/>
        </w:trPr>
        <w:tc>
          <w:tcPr>
            <w:tcW w:w="7825" w:type="dxa"/>
            <w:shd w:val="clear" w:color="auto" w:fill="auto"/>
            <w:noWrap/>
            <w:vAlign w:val="bottom"/>
            <w:hideMark/>
          </w:tcPr>
          <w:p w14:paraId="7C167CE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ER 24HR 10 MG GREE</w:t>
            </w:r>
          </w:p>
        </w:tc>
        <w:tc>
          <w:tcPr>
            <w:tcW w:w="990" w:type="dxa"/>
            <w:shd w:val="clear" w:color="auto" w:fill="auto"/>
            <w:noWrap/>
            <w:vAlign w:val="bottom"/>
            <w:hideMark/>
          </w:tcPr>
          <w:p w14:paraId="05C3C474"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425451B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2</w:t>
            </w:r>
          </w:p>
        </w:tc>
      </w:tr>
      <w:tr w:rsidR="0026405B" w:rsidRPr="0026405B" w14:paraId="5DFC5E3F" w14:textId="77777777" w:rsidTr="007456F3">
        <w:trPr>
          <w:trHeight w:val="288"/>
        </w:trPr>
        <w:tc>
          <w:tcPr>
            <w:tcW w:w="7825" w:type="dxa"/>
            <w:shd w:val="clear" w:color="auto" w:fill="auto"/>
            <w:noWrap/>
            <w:vAlign w:val="bottom"/>
            <w:hideMark/>
          </w:tcPr>
          <w:p w14:paraId="2CF2AC1F"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100 MG GLOB</w:t>
            </w:r>
          </w:p>
        </w:tc>
        <w:tc>
          <w:tcPr>
            <w:tcW w:w="990" w:type="dxa"/>
            <w:shd w:val="clear" w:color="auto" w:fill="auto"/>
            <w:noWrap/>
            <w:vAlign w:val="bottom"/>
            <w:hideMark/>
          </w:tcPr>
          <w:p w14:paraId="74C1F19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4F5DD68A"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r w:rsidR="0026405B" w:rsidRPr="0026405B" w14:paraId="52A13189" w14:textId="77777777" w:rsidTr="007456F3">
        <w:trPr>
          <w:trHeight w:val="288"/>
        </w:trPr>
        <w:tc>
          <w:tcPr>
            <w:tcW w:w="7825" w:type="dxa"/>
            <w:shd w:val="clear" w:color="auto" w:fill="auto"/>
            <w:noWrap/>
            <w:vAlign w:val="bottom"/>
            <w:hideMark/>
          </w:tcPr>
          <w:p w14:paraId="35B8893A"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ACARBOSE TAB 25 MG WEST</w:t>
            </w:r>
          </w:p>
        </w:tc>
        <w:tc>
          <w:tcPr>
            <w:tcW w:w="990" w:type="dxa"/>
            <w:shd w:val="clear" w:color="auto" w:fill="auto"/>
            <w:noWrap/>
            <w:vAlign w:val="bottom"/>
            <w:hideMark/>
          </w:tcPr>
          <w:p w14:paraId="037556F5"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4795A329"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r w:rsidR="0026405B" w:rsidRPr="0026405B" w14:paraId="34E0B485" w14:textId="77777777" w:rsidTr="007456F3">
        <w:trPr>
          <w:trHeight w:val="288"/>
        </w:trPr>
        <w:tc>
          <w:tcPr>
            <w:tcW w:w="7825" w:type="dxa"/>
            <w:shd w:val="clear" w:color="auto" w:fill="auto"/>
            <w:noWrap/>
            <w:vAlign w:val="bottom"/>
            <w:hideMark/>
          </w:tcPr>
          <w:p w14:paraId="0CF64637"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GLIMEPIRIDE TAB 1 MG ACCO</w:t>
            </w:r>
          </w:p>
        </w:tc>
        <w:tc>
          <w:tcPr>
            <w:tcW w:w="990" w:type="dxa"/>
            <w:shd w:val="clear" w:color="auto" w:fill="auto"/>
            <w:noWrap/>
            <w:vAlign w:val="bottom"/>
            <w:hideMark/>
          </w:tcPr>
          <w:p w14:paraId="5EF05F9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46909CEB"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r w:rsidR="0026405B" w:rsidRPr="0026405B" w14:paraId="08CDEAFC" w14:textId="77777777" w:rsidTr="007456F3">
        <w:trPr>
          <w:trHeight w:val="288"/>
        </w:trPr>
        <w:tc>
          <w:tcPr>
            <w:tcW w:w="7825" w:type="dxa"/>
            <w:shd w:val="clear" w:color="auto" w:fill="auto"/>
            <w:noWrap/>
            <w:vAlign w:val="bottom"/>
            <w:hideMark/>
          </w:tcPr>
          <w:p w14:paraId="2B7A214B"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GLIMEPIRIDE TAB 1 MG VIRT</w:t>
            </w:r>
          </w:p>
        </w:tc>
        <w:tc>
          <w:tcPr>
            <w:tcW w:w="990" w:type="dxa"/>
            <w:shd w:val="clear" w:color="auto" w:fill="auto"/>
            <w:noWrap/>
            <w:vAlign w:val="bottom"/>
            <w:hideMark/>
          </w:tcPr>
          <w:p w14:paraId="075BFEF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6F50C62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r w:rsidR="0026405B" w:rsidRPr="0026405B" w14:paraId="1A01831E" w14:textId="77777777" w:rsidTr="007456F3">
        <w:trPr>
          <w:trHeight w:val="288"/>
        </w:trPr>
        <w:tc>
          <w:tcPr>
            <w:tcW w:w="7825" w:type="dxa"/>
            <w:shd w:val="clear" w:color="auto" w:fill="auto"/>
            <w:noWrap/>
            <w:vAlign w:val="bottom"/>
            <w:hideMark/>
          </w:tcPr>
          <w:p w14:paraId="5EBC76EC"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GLIPIZIDE TAB SR 24HR 10 MG ACTA</w:t>
            </w:r>
          </w:p>
        </w:tc>
        <w:tc>
          <w:tcPr>
            <w:tcW w:w="990" w:type="dxa"/>
            <w:shd w:val="clear" w:color="auto" w:fill="auto"/>
            <w:noWrap/>
            <w:vAlign w:val="bottom"/>
            <w:hideMark/>
          </w:tcPr>
          <w:p w14:paraId="7F2B307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36EF6BA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r w:rsidR="0026405B" w:rsidRPr="0026405B" w14:paraId="12A8E26C" w14:textId="77777777" w:rsidTr="007456F3">
        <w:trPr>
          <w:trHeight w:val="288"/>
        </w:trPr>
        <w:tc>
          <w:tcPr>
            <w:tcW w:w="7825" w:type="dxa"/>
            <w:shd w:val="clear" w:color="auto" w:fill="auto"/>
            <w:noWrap/>
            <w:vAlign w:val="bottom"/>
            <w:hideMark/>
          </w:tcPr>
          <w:p w14:paraId="470FD823"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lastRenderedPageBreak/>
              <w:t>GLUCAGON HCL (RDNA) FOR INJ 1 MG (BASE EQUIV) NOVO</w:t>
            </w:r>
          </w:p>
        </w:tc>
        <w:tc>
          <w:tcPr>
            <w:tcW w:w="990" w:type="dxa"/>
            <w:shd w:val="clear" w:color="auto" w:fill="auto"/>
            <w:noWrap/>
            <w:vAlign w:val="bottom"/>
            <w:hideMark/>
          </w:tcPr>
          <w:p w14:paraId="45E38012"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43B505B6"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r w:rsidR="0026405B" w:rsidRPr="0026405B" w14:paraId="60734400" w14:textId="77777777" w:rsidTr="007456F3">
        <w:trPr>
          <w:trHeight w:val="288"/>
        </w:trPr>
        <w:tc>
          <w:tcPr>
            <w:tcW w:w="7825" w:type="dxa"/>
            <w:shd w:val="clear" w:color="auto" w:fill="auto"/>
            <w:noWrap/>
            <w:vAlign w:val="bottom"/>
            <w:hideMark/>
          </w:tcPr>
          <w:p w14:paraId="740311C3"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GLUCAGON HCL (RDNA) FOR INJ 1 MG NOVO</w:t>
            </w:r>
          </w:p>
        </w:tc>
        <w:tc>
          <w:tcPr>
            <w:tcW w:w="990" w:type="dxa"/>
            <w:shd w:val="clear" w:color="auto" w:fill="auto"/>
            <w:noWrap/>
            <w:vAlign w:val="bottom"/>
            <w:hideMark/>
          </w:tcPr>
          <w:p w14:paraId="34CD5F73"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45D39120"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r w:rsidR="0026405B" w:rsidRPr="0026405B" w14:paraId="77C624B5" w14:textId="77777777" w:rsidTr="007456F3">
        <w:trPr>
          <w:trHeight w:val="288"/>
        </w:trPr>
        <w:tc>
          <w:tcPr>
            <w:tcW w:w="7825" w:type="dxa"/>
            <w:shd w:val="clear" w:color="auto" w:fill="auto"/>
            <w:noWrap/>
            <w:vAlign w:val="bottom"/>
            <w:hideMark/>
          </w:tcPr>
          <w:p w14:paraId="4104A9DD" w14:textId="77777777" w:rsidR="0026405B" w:rsidRPr="007456F3" w:rsidRDefault="0026405B" w:rsidP="0026405B">
            <w:pPr>
              <w:spacing w:after="0" w:line="240" w:lineRule="auto"/>
              <w:rPr>
                <w:rFonts w:ascii="Arial" w:eastAsia="Times New Roman" w:hAnsi="Arial" w:cs="Arial"/>
                <w:sz w:val="20"/>
                <w:szCs w:val="20"/>
              </w:rPr>
            </w:pPr>
            <w:r w:rsidRPr="007456F3">
              <w:rPr>
                <w:rFonts w:ascii="Arial" w:eastAsia="Times New Roman" w:hAnsi="Arial" w:cs="Arial"/>
                <w:sz w:val="20"/>
                <w:szCs w:val="20"/>
              </w:rPr>
              <w:t>INSULIN NPH (HUMAN) (ISOPHANE) INJ 100 UNIT/ML NOVO</w:t>
            </w:r>
          </w:p>
        </w:tc>
        <w:tc>
          <w:tcPr>
            <w:tcW w:w="990" w:type="dxa"/>
            <w:shd w:val="clear" w:color="auto" w:fill="auto"/>
            <w:noWrap/>
            <w:vAlign w:val="bottom"/>
            <w:hideMark/>
          </w:tcPr>
          <w:p w14:paraId="6AF55268"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0</w:t>
            </w:r>
          </w:p>
        </w:tc>
        <w:tc>
          <w:tcPr>
            <w:tcW w:w="1260" w:type="dxa"/>
            <w:shd w:val="clear" w:color="auto" w:fill="auto"/>
            <w:noWrap/>
            <w:vAlign w:val="bottom"/>
            <w:hideMark/>
          </w:tcPr>
          <w:p w14:paraId="606758CA" w14:textId="77777777" w:rsidR="0026405B" w:rsidRPr="007456F3" w:rsidRDefault="0026405B" w:rsidP="0026405B">
            <w:pPr>
              <w:spacing w:after="0" w:line="240" w:lineRule="auto"/>
              <w:jc w:val="right"/>
              <w:rPr>
                <w:rFonts w:ascii="Arial" w:eastAsia="Times New Roman" w:hAnsi="Arial" w:cs="Arial"/>
                <w:sz w:val="20"/>
                <w:szCs w:val="20"/>
              </w:rPr>
            </w:pPr>
            <w:r w:rsidRPr="007456F3">
              <w:rPr>
                <w:rFonts w:ascii="Arial" w:eastAsia="Times New Roman" w:hAnsi="Arial" w:cs="Arial"/>
                <w:sz w:val="20"/>
                <w:szCs w:val="20"/>
              </w:rPr>
              <w:t>1</w:t>
            </w:r>
          </w:p>
        </w:tc>
      </w:tr>
    </w:tbl>
    <w:p w14:paraId="0DAFD2BE" w14:textId="77777777" w:rsidR="00351B33" w:rsidRDefault="00351B33" w:rsidP="00A6296D">
      <w:pPr>
        <w:pStyle w:val="NoSpacing"/>
        <w:rPr>
          <w:rFonts w:ascii="Arial" w:hAnsi="Arial" w:cs="Arial"/>
          <w:b/>
          <w:sz w:val="20"/>
          <w:szCs w:val="20"/>
          <w:u w:val="single"/>
        </w:rPr>
      </w:pPr>
    </w:p>
    <w:p w14:paraId="7604AE0A" w14:textId="2C95BA55" w:rsidR="006F192F" w:rsidRDefault="006F192F" w:rsidP="00A6296D">
      <w:pPr>
        <w:pStyle w:val="NoSpacing"/>
        <w:rPr>
          <w:rFonts w:ascii="Arial" w:hAnsi="Arial" w:cs="Arial"/>
          <w:sz w:val="20"/>
          <w:szCs w:val="20"/>
        </w:rPr>
      </w:pPr>
    </w:p>
    <w:p w14:paraId="7861F207" w14:textId="1C27A07B" w:rsidR="005121D1" w:rsidRDefault="00BC04B2" w:rsidP="005121D1">
      <w:pPr>
        <w:pStyle w:val="NoSpacing"/>
        <w:rPr>
          <w:rFonts w:ascii="Arial" w:hAnsi="Arial" w:cs="Arial"/>
          <w:bCs/>
          <w:sz w:val="20"/>
          <w:szCs w:val="20"/>
        </w:rPr>
      </w:pPr>
      <w:r>
        <w:rPr>
          <w:rFonts w:ascii="Arial" w:hAnsi="Arial" w:cs="Arial"/>
          <w:b/>
          <w:sz w:val="20"/>
          <w:szCs w:val="20"/>
          <w:u w:val="single"/>
        </w:rPr>
        <w:t>Table S2.</w:t>
      </w:r>
      <w:r>
        <w:rPr>
          <w:rFonts w:ascii="Arial" w:hAnsi="Arial" w:cs="Arial"/>
          <w:b/>
          <w:sz w:val="20"/>
          <w:szCs w:val="20"/>
        </w:rPr>
        <w:t xml:space="preserve"> </w:t>
      </w:r>
      <w:r w:rsidR="005121D1" w:rsidRPr="00BC04B2">
        <w:rPr>
          <w:rFonts w:ascii="Arial" w:hAnsi="Arial" w:cs="Arial"/>
          <w:bCs/>
          <w:sz w:val="20"/>
          <w:szCs w:val="20"/>
        </w:rPr>
        <w:t xml:space="preserve">Unadjusted </w:t>
      </w:r>
      <w:r w:rsidR="008E043D" w:rsidRPr="00BC04B2">
        <w:rPr>
          <w:rFonts w:ascii="Arial" w:hAnsi="Arial" w:cs="Arial"/>
          <w:bCs/>
          <w:sz w:val="20"/>
          <w:szCs w:val="20"/>
        </w:rPr>
        <w:t xml:space="preserve">T2DM </w:t>
      </w:r>
      <w:r w:rsidR="005121D1" w:rsidRPr="00BC04B2">
        <w:rPr>
          <w:rFonts w:ascii="Arial" w:hAnsi="Arial" w:cs="Arial"/>
          <w:bCs/>
          <w:sz w:val="20"/>
          <w:szCs w:val="20"/>
        </w:rPr>
        <w:t>remission rates</w:t>
      </w:r>
      <w:r w:rsidR="008E043D" w:rsidRPr="00BC04B2">
        <w:rPr>
          <w:rFonts w:ascii="Arial" w:hAnsi="Arial" w:cs="Arial"/>
          <w:bCs/>
          <w:sz w:val="20"/>
          <w:szCs w:val="20"/>
        </w:rPr>
        <w:t xml:space="preserve"> per person-year</w:t>
      </w:r>
      <w:r w:rsidR="005121D1" w:rsidRPr="00BC04B2">
        <w:rPr>
          <w:rFonts w:ascii="Arial" w:hAnsi="Arial" w:cs="Arial"/>
          <w:bCs/>
          <w:sz w:val="20"/>
          <w:szCs w:val="20"/>
        </w:rPr>
        <w:t xml:space="preserve"> for subgroups</w:t>
      </w:r>
      <w:r>
        <w:rPr>
          <w:rFonts w:ascii="Arial" w:hAnsi="Arial" w:cs="Arial"/>
          <w:bCs/>
          <w:sz w:val="20"/>
          <w:szCs w:val="20"/>
        </w:rPr>
        <w:t>.</w:t>
      </w:r>
    </w:p>
    <w:p w14:paraId="374455CB" w14:textId="77777777" w:rsidR="0026405B" w:rsidRPr="00BC04B2" w:rsidRDefault="0026405B" w:rsidP="005121D1">
      <w:pPr>
        <w:pStyle w:val="NoSpacing"/>
        <w:rPr>
          <w:rFonts w:ascii="Arial" w:hAnsi="Arial" w:cs="Arial"/>
          <w:bCs/>
          <w:sz w:val="20"/>
          <w:szCs w:val="20"/>
        </w:rPr>
      </w:pP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06"/>
        <w:gridCol w:w="961"/>
        <w:gridCol w:w="1039"/>
        <w:gridCol w:w="1137"/>
        <w:gridCol w:w="1050"/>
        <w:gridCol w:w="794"/>
        <w:gridCol w:w="750"/>
        <w:gridCol w:w="988"/>
        <w:gridCol w:w="749"/>
      </w:tblGrid>
      <w:tr w:rsidR="008E043D" w:rsidRPr="008E043D" w14:paraId="357FF2A5" w14:textId="77777777" w:rsidTr="0026405B">
        <w:trPr>
          <w:trHeight w:val="615"/>
        </w:trPr>
        <w:tc>
          <w:tcPr>
            <w:tcW w:w="990" w:type="dxa"/>
            <w:shd w:val="clear" w:color="auto" w:fill="auto"/>
            <w:vAlign w:val="bottom"/>
            <w:hideMark/>
          </w:tcPr>
          <w:p w14:paraId="1F7DBB55"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Weight loss</w:t>
            </w:r>
          </w:p>
        </w:tc>
        <w:tc>
          <w:tcPr>
            <w:tcW w:w="606" w:type="dxa"/>
            <w:shd w:val="clear" w:color="auto" w:fill="auto"/>
            <w:vAlign w:val="bottom"/>
            <w:hideMark/>
          </w:tcPr>
          <w:p w14:paraId="358865FD"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All</w:t>
            </w:r>
          </w:p>
        </w:tc>
        <w:tc>
          <w:tcPr>
            <w:tcW w:w="961" w:type="dxa"/>
            <w:shd w:val="clear" w:color="auto" w:fill="auto"/>
            <w:vAlign w:val="bottom"/>
            <w:hideMark/>
          </w:tcPr>
          <w:p w14:paraId="4CBD5C49"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 xml:space="preserve">Low </w:t>
            </w:r>
            <w:proofErr w:type="spellStart"/>
            <w:r w:rsidRPr="00302B84">
              <w:rPr>
                <w:rFonts w:ascii="Arial" w:eastAsia="Times New Roman" w:hAnsi="Arial" w:cs="Arial"/>
                <w:b/>
                <w:bCs/>
                <w:color w:val="000000"/>
                <w:sz w:val="20"/>
                <w:szCs w:val="20"/>
              </w:rPr>
              <w:t>DiaRem</w:t>
            </w:r>
            <w:proofErr w:type="spellEnd"/>
            <w:r w:rsidRPr="00302B84">
              <w:rPr>
                <w:rFonts w:ascii="Arial" w:eastAsia="Times New Roman" w:hAnsi="Arial" w:cs="Arial"/>
                <w:b/>
                <w:bCs/>
                <w:color w:val="000000"/>
                <w:sz w:val="20"/>
                <w:szCs w:val="20"/>
              </w:rPr>
              <w:t xml:space="preserve"> </w:t>
            </w:r>
          </w:p>
        </w:tc>
        <w:tc>
          <w:tcPr>
            <w:tcW w:w="1039" w:type="dxa"/>
            <w:shd w:val="clear" w:color="auto" w:fill="auto"/>
            <w:vAlign w:val="bottom"/>
            <w:hideMark/>
          </w:tcPr>
          <w:p w14:paraId="178A35B0"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 xml:space="preserve">High </w:t>
            </w:r>
            <w:proofErr w:type="spellStart"/>
            <w:r w:rsidRPr="00302B84">
              <w:rPr>
                <w:rFonts w:ascii="Arial" w:eastAsia="Times New Roman" w:hAnsi="Arial" w:cs="Arial"/>
                <w:b/>
                <w:bCs/>
                <w:color w:val="000000"/>
                <w:sz w:val="20"/>
                <w:szCs w:val="20"/>
              </w:rPr>
              <w:t>DiaRem</w:t>
            </w:r>
            <w:proofErr w:type="spellEnd"/>
          </w:p>
        </w:tc>
        <w:tc>
          <w:tcPr>
            <w:tcW w:w="1137" w:type="dxa"/>
            <w:shd w:val="clear" w:color="auto" w:fill="auto"/>
            <w:vAlign w:val="bottom"/>
            <w:hideMark/>
          </w:tcPr>
          <w:p w14:paraId="2C3A5A42"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 xml:space="preserve">No insulin use </w:t>
            </w:r>
          </w:p>
        </w:tc>
        <w:tc>
          <w:tcPr>
            <w:tcW w:w="1050" w:type="dxa"/>
            <w:shd w:val="clear" w:color="auto" w:fill="auto"/>
            <w:vAlign w:val="bottom"/>
            <w:hideMark/>
          </w:tcPr>
          <w:p w14:paraId="55A56E17"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Insulin use</w:t>
            </w:r>
          </w:p>
        </w:tc>
        <w:tc>
          <w:tcPr>
            <w:tcW w:w="794" w:type="dxa"/>
            <w:shd w:val="clear" w:color="auto" w:fill="auto"/>
            <w:vAlign w:val="bottom"/>
            <w:hideMark/>
          </w:tcPr>
          <w:p w14:paraId="467D5992"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White</w:t>
            </w:r>
          </w:p>
        </w:tc>
        <w:tc>
          <w:tcPr>
            <w:tcW w:w="750" w:type="dxa"/>
            <w:shd w:val="clear" w:color="auto" w:fill="auto"/>
            <w:vAlign w:val="bottom"/>
            <w:hideMark/>
          </w:tcPr>
          <w:p w14:paraId="51E2217C"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Black</w:t>
            </w:r>
          </w:p>
        </w:tc>
        <w:tc>
          <w:tcPr>
            <w:tcW w:w="988" w:type="dxa"/>
            <w:shd w:val="clear" w:color="auto" w:fill="auto"/>
            <w:vAlign w:val="bottom"/>
            <w:hideMark/>
          </w:tcPr>
          <w:p w14:paraId="6B2B7E04" w14:textId="77777777" w:rsidR="008E043D" w:rsidRPr="008E043D" w:rsidRDefault="008E043D" w:rsidP="008E043D">
            <w:pPr>
              <w:spacing w:after="0" w:line="240" w:lineRule="auto"/>
              <w:jc w:val="center"/>
              <w:rPr>
                <w:rFonts w:ascii="Calibri" w:eastAsia="Times New Roman" w:hAnsi="Calibri" w:cs="Calibri"/>
                <w:b/>
                <w:bCs/>
                <w:color w:val="000000"/>
              </w:rPr>
            </w:pPr>
            <w:r w:rsidRPr="008E043D">
              <w:rPr>
                <w:rFonts w:ascii="Calibri" w:eastAsia="Times New Roman" w:hAnsi="Calibri" w:cs="Calibri"/>
                <w:b/>
                <w:bCs/>
                <w:color w:val="000000"/>
              </w:rPr>
              <w:t>Hispanic</w:t>
            </w:r>
          </w:p>
        </w:tc>
        <w:tc>
          <w:tcPr>
            <w:tcW w:w="749" w:type="dxa"/>
            <w:shd w:val="clear" w:color="auto" w:fill="auto"/>
            <w:vAlign w:val="bottom"/>
            <w:hideMark/>
          </w:tcPr>
          <w:p w14:paraId="7E8E55D6" w14:textId="77777777" w:rsidR="008E043D" w:rsidRPr="008E043D" w:rsidRDefault="008E043D" w:rsidP="008E043D">
            <w:pPr>
              <w:spacing w:after="0" w:line="240" w:lineRule="auto"/>
              <w:jc w:val="center"/>
              <w:rPr>
                <w:rFonts w:ascii="Calibri" w:eastAsia="Times New Roman" w:hAnsi="Calibri" w:cs="Calibri"/>
                <w:b/>
                <w:bCs/>
                <w:color w:val="000000"/>
              </w:rPr>
            </w:pPr>
            <w:r w:rsidRPr="008E043D">
              <w:rPr>
                <w:rFonts w:ascii="Calibri" w:eastAsia="Times New Roman" w:hAnsi="Calibri" w:cs="Calibri"/>
                <w:b/>
                <w:bCs/>
                <w:color w:val="000000"/>
              </w:rPr>
              <w:t>Other</w:t>
            </w:r>
          </w:p>
        </w:tc>
      </w:tr>
      <w:tr w:rsidR="008E043D" w:rsidRPr="00302B84" w14:paraId="46D2DA10" w14:textId="77777777" w:rsidTr="0026405B">
        <w:trPr>
          <w:trHeight w:val="300"/>
        </w:trPr>
        <w:tc>
          <w:tcPr>
            <w:tcW w:w="990" w:type="dxa"/>
            <w:shd w:val="clear" w:color="auto" w:fill="auto"/>
            <w:vAlign w:val="bottom"/>
            <w:hideMark/>
          </w:tcPr>
          <w:p w14:paraId="088C802F"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0-5%</w:t>
            </w:r>
          </w:p>
        </w:tc>
        <w:tc>
          <w:tcPr>
            <w:tcW w:w="606" w:type="dxa"/>
            <w:shd w:val="clear" w:color="auto" w:fill="auto"/>
            <w:noWrap/>
            <w:vAlign w:val="bottom"/>
            <w:hideMark/>
          </w:tcPr>
          <w:p w14:paraId="111E2F31"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0.05</w:t>
            </w:r>
          </w:p>
        </w:tc>
        <w:tc>
          <w:tcPr>
            <w:tcW w:w="961" w:type="dxa"/>
            <w:shd w:val="clear" w:color="auto" w:fill="auto"/>
            <w:noWrap/>
            <w:vAlign w:val="bottom"/>
            <w:hideMark/>
          </w:tcPr>
          <w:p w14:paraId="4E053368"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0.10</w:t>
            </w:r>
          </w:p>
        </w:tc>
        <w:tc>
          <w:tcPr>
            <w:tcW w:w="1039" w:type="dxa"/>
            <w:shd w:val="clear" w:color="auto" w:fill="auto"/>
            <w:noWrap/>
            <w:vAlign w:val="bottom"/>
            <w:hideMark/>
          </w:tcPr>
          <w:p w14:paraId="3891F6FF"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0.00</w:t>
            </w:r>
          </w:p>
        </w:tc>
        <w:tc>
          <w:tcPr>
            <w:tcW w:w="1137" w:type="dxa"/>
            <w:shd w:val="clear" w:color="auto" w:fill="auto"/>
            <w:noWrap/>
            <w:vAlign w:val="bottom"/>
            <w:hideMark/>
          </w:tcPr>
          <w:p w14:paraId="52BD62C9"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0.09</w:t>
            </w:r>
          </w:p>
        </w:tc>
        <w:tc>
          <w:tcPr>
            <w:tcW w:w="1050" w:type="dxa"/>
            <w:shd w:val="clear" w:color="auto" w:fill="auto"/>
            <w:noWrap/>
            <w:vAlign w:val="bottom"/>
            <w:hideMark/>
          </w:tcPr>
          <w:p w14:paraId="4683A42B"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0.00</w:t>
            </w:r>
          </w:p>
        </w:tc>
        <w:tc>
          <w:tcPr>
            <w:tcW w:w="794" w:type="dxa"/>
            <w:shd w:val="clear" w:color="auto" w:fill="auto"/>
            <w:noWrap/>
            <w:vAlign w:val="bottom"/>
            <w:hideMark/>
          </w:tcPr>
          <w:p w14:paraId="433DD5B8"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0.03</w:t>
            </w:r>
          </w:p>
        </w:tc>
        <w:tc>
          <w:tcPr>
            <w:tcW w:w="750" w:type="dxa"/>
            <w:shd w:val="clear" w:color="auto" w:fill="auto"/>
            <w:noWrap/>
            <w:vAlign w:val="bottom"/>
            <w:hideMark/>
          </w:tcPr>
          <w:p w14:paraId="363CD45A"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0.10</w:t>
            </w:r>
          </w:p>
        </w:tc>
        <w:tc>
          <w:tcPr>
            <w:tcW w:w="988" w:type="dxa"/>
            <w:shd w:val="clear" w:color="auto" w:fill="auto"/>
            <w:noWrap/>
            <w:vAlign w:val="bottom"/>
            <w:hideMark/>
          </w:tcPr>
          <w:p w14:paraId="56AB58BC"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0.06</w:t>
            </w:r>
          </w:p>
        </w:tc>
        <w:tc>
          <w:tcPr>
            <w:tcW w:w="749" w:type="dxa"/>
            <w:shd w:val="clear" w:color="auto" w:fill="auto"/>
            <w:noWrap/>
            <w:vAlign w:val="bottom"/>
            <w:hideMark/>
          </w:tcPr>
          <w:p w14:paraId="06780E8D"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0.04</w:t>
            </w:r>
          </w:p>
        </w:tc>
      </w:tr>
      <w:tr w:rsidR="008E043D" w:rsidRPr="00302B84" w14:paraId="1EA1C232" w14:textId="77777777" w:rsidTr="0026405B">
        <w:trPr>
          <w:trHeight w:val="300"/>
        </w:trPr>
        <w:tc>
          <w:tcPr>
            <w:tcW w:w="990" w:type="dxa"/>
            <w:shd w:val="clear" w:color="auto" w:fill="auto"/>
            <w:noWrap/>
            <w:vAlign w:val="bottom"/>
            <w:hideMark/>
          </w:tcPr>
          <w:p w14:paraId="22048369" w14:textId="77777777" w:rsidR="008E043D" w:rsidRPr="00302B84" w:rsidRDefault="008E043D" w:rsidP="008E043D">
            <w:pPr>
              <w:spacing w:after="0" w:line="240" w:lineRule="auto"/>
              <w:jc w:val="center"/>
              <w:rPr>
                <w:rFonts w:ascii="Arial" w:eastAsia="Times New Roman" w:hAnsi="Arial" w:cs="Arial"/>
                <w:sz w:val="20"/>
                <w:szCs w:val="20"/>
              </w:rPr>
            </w:pPr>
            <w:r w:rsidRPr="00302B84">
              <w:rPr>
                <w:rFonts w:ascii="Arial" w:eastAsia="Times New Roman" w:hAnsi="Arial" w:cs="Arial"/>
                <w:sz w:val="20"/>
                <w:szCs w:val="20"/>
              </w:rPr>
              <w:t>5-10%</w:t>
            </w:r>
          </w:p>
        </w:tc>
        <w:tc>
          <w:tcPr>
            <w:tcW w:w="606" w:type="dxa"/>
            <w:shd w:val="clear" w:color="auto" w:fill="auto"/>
            <w:noWrap/>
            <w:vAlign w:val="bottom"/>
            <w:hideMark/>
          </w:tcPr>
          <w:p w14:paraId="223226B1"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0.09</w:t>
            </w:r>
          </w:p>
        </w:tc>
        <w:tc>
          <w:tcPr>
            <w:tcW w:w="961" w:type="dxa"/>
            <w:shd w:val="clear" w:color="auto" w:fill="auto"/>
            <w:noWrap/>
            <w:vAlign w:val="bottom"/>
            <w:hideMark/>
          </w:tcPr>
          <w:p w14:paraId="79031C14"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0.19</w:t>
            </w:r>
          </w:p>
        </w:tc>
        <w:tc>
          <w:tcPr>
            <w:tcW w:w="1039" w:type="dxa"/>
            <w:shd w:val="clear" w:color="auto" w:fill="auto"/>
            <w:noWrap/>
            <w:vAlign w:val="bottom"/>
            <w:hideMark/>
          </w:tcPr>
          <w:p w14:paraId="07592BEC"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0.01</w:t>
            </w:r>
          </w:p>
        </w:tc>
        <w:tc>
          <w:tcPr>
            <w:tcW w:w="1137" w:type="dxa"/>
            <w:shd w:val="clear" w:color="auto" w:fill="auto"/>
            <w:noWrap/>
            <w:vAlign w:val="bottom"/>
            <w:hideMark/>
          </w:tcPr>
          <w:p w14:paraId="02F6AB92"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0.17</w:t>
            </w:r>
          </w:p>
        </w:tc>
        <w:tc>
          <w:tcPr>
            <w:tcW w:w="1050" w:type="dxa"/>
            <w:shd w:val="clear" w:color="auto" w:fill="auto"/>
            <w:noWrap/>
            <w:vAlign w:val="bottom"/>
            <w:hideMark/>
          </w:tcPr>
          <w:p w14:paraId="4C20A14F"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0.01</w:t>
            </w:r>
          </w:p>
        </w:tc>
        <w:tc>
          <w:tcPr>
            <w:tcW w:w="794" w:type="dxa"/>
            <w:shd w:val="clear" w:color="auto" w:fill="auto"/>
            <w:noWrap/>
            <w:vAlign w:val="bottom"/>
            <w:hideMark/>
          </w:tcPr>
          <w:p w14:paraId="1AD9200E"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0.11</w:t>
            </w:r>
          </w:p>
        </w:tc>
        <w:tc>
          <w:tcPr>
            <w:tcW w:w="750" w:type="dxa"/>
            <w:shd w:val="clear" w:color="auto" w:fill="auto"/>
            <w:noWrap/>
            <w:vAlign w:val="bottom"/>
            <w:hideMark/>
          </w:tcPr>
          <w:p w14:paraId="16AF8717"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0.12</w:t>
            </w:r>
          </w:p>
        </w:tc>
        <w:tc>
          <w:tcPr>
            <w:tcW w:w="988" w:type="dxa"/>
            <w:shd w:val="clear" w:color="auto" w:fill="auto"/>
            <w:noWrap/>
            <w:vAlign w:val="bottom"/>
            <w:hideMark/>
          </w:tcPr>
          <w:p w14:paraId="66DE3433"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0.06</w:t>
            </w:r>
          </w:p>
        </w:tc>
        <w:tc>
          <w:tcPr>
            <w:tcW w:w="749" w:type="dxa"/>
            <w:shd w:val="clear" w:color="auto" w:fill="auto"/>
            <w:noWrap/>
            <w:vAlign w:val="bottom"/>
            <w:hideMark/>
          </w:tcPr>
          <w:p w14:paraId="7585873A"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0.09</w:t>
            </w:r>
          </w:p>
        </w:tc>
      </w:tr>
      <w:tr w:rsidR="008E043D" w:rsidRPr="00302B84" w14:paraId="0864ABD4" w14:textId="77777777" w:rsidTr="0026405B">
        <w:trPr>
          <w:trHeight w:val="300"/>
        </w:trPr>
        <w:tc>
          <w:tcPr>
            <w:tcW w:w="990" w:type="dxa"/>
            <w:shd w:val="clear" w:color="auto" w:fill="auto"/>
            <w:noWrap/>
            <w:vAlign w:val="bottom"/>
            <w:hideMark/>
          </w:tcPr>
          <w:p w14:paraId="3EA3B109" w14:textId="77777777" w:rsidR="008E043D" w:rsidRPr="00302B84" w:rsidRDefault="008E043D" w:rsidP="008E043D">
            <w:pPr>
              <w:spacing w:after="0" w:line="240" w:lineRule="auto"/>
              <w:jc w:val="center"/>
              <w:rPr>
                <w:rFonts w:ascii="Arial" w:eastAsia="Times New Roman" w:hAnsi="Arial" w:cs="Arial"/>
                <w:sz w:val="20"/>
                <w:szCs w:val="20"/>
              </w:rPr>
            </w:pPr>
            <w:r w:rsidRPr="00302B84">
              <w:rPr>
                <w:rFonts w:ascii="Arial" w:eastAsia="Times New Roman" w:hAnsi="Arial" w:cs="Arial"/>
                <w:sz w:val="20"/>
                <w:szCs w:val="20"/>
              </w:rPr>
              <w:t>10-15%</w:t>
            </w:r>
          </w:p>
        </w:tc>
        <w:tc>
          <w:tcPr>
            <w:tcW w:w="606" w:type="dxa"/>
            <w:shd w:val="clear" w:color="auto" w:fill="auto"/>
            <w:noWrap/>
            <w:vAlign w:val="bottom"/>
            <w:hideMark/>
          </w:tcPr>
          <w:p w14:paraId="28CB7AF1"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0.21</w:t>
            </w:r>
          </w:p>
        </w:tc>
        <w:tc>
          <w:tcPr>
            <w:tcW w:w="961" w:type="dxa"/>
            <w:shd w:val="clear" w:color="auto" w:fill="auto"/>
            <w:noWrap/>
            <w:vAlign w:val="bottom"/>
            <w:hideMark/>
          </w:tcPr>
          <w:p w14:paraId="21382CC5"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0.40</w:t>
            </w:r>
          </w:p>
        </w:tc>
        <w:tc>
          <w:tcPr>
            <w:tcW w:w="1039" w:type="dxa"/>
            <w:shd w:val="clear" w:color="auto" w:fill="auto"/>
            <w:noWrap/>
            <w:vAlign w:val="bottom"/>
            <w:hideMark/>
          </w:tcPr>
          <w:p w14:paraId="031A4468"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0.05</w:t>
            </w:r>
          </w:p>
        </w:tc>
        <w:tc>
          <w:tcPr>
            <w:tcW w:w="1137" w:type="dxa"/>
            <w:shd w:val="clear" w:color="auto" w:fill="auto"/>
            <w:noWrap/>
            <w:vAlign w:val="bottom"/>
            <w:hideMark/>
          </w:tcPr>
          <w:p w14:paraId="21BEFE29"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0.34</w:t>
            </w:r>
          </w:p>
        </w:tc>
        <w:tc>
          <w:tcPr>
            <w:tcW w:w="1050" w:type="dxa"/>
            <w:shd w:val="clear" w:color="auto" w:fill="auto"/>
            <w:noWrap/>
            <w:vAlign w:val="bottom"/>
            <w:hideMark/>
          </w:tcPr>
          <w:p w14:paraId="37291D1A"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0.05</w:t>
            </w:r>
          </w:p>
        </w:tc>
        <w:tc>
          <w:tcPr>
            <w:tcW w:w="794" w:type="dxa"/>
            <w:shd w:val="clear" w:color="auto" w:fill="auto"/>
            <w:noWrap/>
            <w:vAlign w:val="bottom"/>
            <w:hideMark/>
          </w:tcPr>
          <w:p w14:paraId="3F4E2D63"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0.19</w:t>
            </w:r>
          </w:p>
        </w:tc>
        <w:tc>
          <w:tcPr>
            <w:tcW w:w="750" w:type="dxa"/>
            <w:shd w:val="clear" w:color="auto" w:fill="auto"/>
            <w:noWrap/>
            <w:vAlign w:val="bottom"/>
            <w:hideMark/>
          </w:tcPr>
          <w:p w14:paraId="352FF89F"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0.24</w:t>
            </w:r>
          </w:p>
        </w:tc>
        <w:tc>
          <w:tcPr>
            <w:tcW w:w="988" w:type="dxa"/>
            <w:shd w:val="clear" w:color="auto" w:fill="auto"/>
            <w:noWrap/>
            <w:vAlign w:val="bottom"/>
            <w:hideMark/>
          </w:tcPr>
          <w:p w14:paraId="0C61B472"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0.21</w:t>
            </w:r>
          </w:p>
        </w:tc>
        <w:tc>
          <w:tcPr>
            <w:tcW w:w="749" w:type="dxa"/>
            <w:shd w:val="clear" w:color="auto" w:fill="auto"/>
            <w:noWrap/>
            <w:vAlign w:val="bottom"/>
            <w:hideMark/>
          </w:tcPr>
          <w:p w14:paraId="1B54343C"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0.16</w:t>
            </w:r>
          </w:p>
        </w:tc>
      </w:tr>
      <w:tr w:rsidR="008E043D" w:rsidRPr="00302B84" w14:paraId="42F414F7" w14:textId="77777777" w:rsidTr="0026405B">
        <w:trPr>
          <w:trHeight w:val="300"/>
        </w:trPr>
        <w:tc>
          <w:tcPr>
            <w:tcW w:w="990" w:type="dxa"/>
            <w:shd w:val="clear" w:color="auto" w:fill="auto"/>
            <w:noWrap/>
            <w:vAlign w:val="bottom"/>
            <w:hideMark/>
          </w:tcPr>
          <w:p w14:paraId="1920A92D" w14:textId="77777777" w:rsidR="008E043D" w:rsidRPr="00302B84" w:rsidRDefault="008E043D" w:rsidP="008E043D">
            <w:pPr>
              <w:spacing w:after="0" w:line="240" w:lineRule="auto"/>
              <w:jc w:val="center"/>
              <w:rPr>
                <w:rFonts w:ascii="Arial" w:eastAsia="Times New Roman" w:hAnsi="Arial" w:cs="Arial"/>
                <w:sz w:val="20"/>
                <w:szCs w:val="20"/>
              </w:rPr>
            </w:pPr>
            <w:r w:rsidRPr="00302B84">
              <w:rPr>
                <w:rFonts w:ascii="Arial" w:eastAsia="Times New Roman" w:hAnsi="Arial" w:cs="Arial"/>
                <w:sz w:val="20"/>
                <w:szCs w:val="20"/>
              </w:rPr>
              <w:t>15-20%</w:t>
            </w:r>
          </w:p>
        </w:tc>
        <w:tc>
          <w:tcPr>
            <w:tcW w:w="606" w:type="dxa"/>
            <w:shd w:val="clear" w:color="auto" w:fill="auto"/>
            <w:noWrap/>
            <w:vAlign w:val="bottom"/>
            <w:hideMark/>
          </w:tcPr>
          <w:p w14:paraId="1506EFED"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0.32</w:t>
            </w:r>
          </w:p>
        </w:tc>
        <w:tc>
          <w:tcPr>
            <w:tcW w:w="961" w:type="dxa"/>
            <w:shd w:val="clear" w:color="auto" w:fill="auto"/>
            <w:noWrap/>
            <w:vAlign w:val="bottom"/>
            <w:hideMark/>
          </w:tcPr>
          <w:p w14:paraId="462F2300"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0.64</w:t>
            </w:r>
          </w:p>
        </w:tc>
        <w:tc>
          <w:tcPr>
            <w:tcW w:w="1039" w:type="dxa"/>
            <w:shd w:val="clear" w:color="auto" w:fill="auto"/>
            <w:noWrap/>
            <w:vAlign w:val="bottom"/>
            <w:hideMark/>
          </w:tcPr>
          <w:p w14:paraId="195E90EB"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0.10</w:t>
            </w:r>
          </w:p>
        </w:tc>
        <w:tc>
          <w:tcPr>
            <w:tcW w:w="1137" w:type="dxa"/>
            <w:shd w:val="clear" w:color="auto" w:fill="auto"/>
            <w:noWrap/>
            <w:vAlign w:val="bottom"/>
            <w:hideMark/>
          </w:tcPr>
          <w:p w14:paraId="5BEA39A6"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0.59</w:t>
            </w:r>
          </w:p>
        </w:tc>
        <w:tc>
          <w:tcPr>
            <w:tcW w:w="1050" w:type="dxa"/>
            <w:shd w:val="clear" w:color="auto" w:fill="auto"/>
            <w:noWrap/>
            <w:vAlign w:val="bottom"/>
            <w:hideMark/>
          </w:tcPr>
          <w:p w14:paraId="43B26A93"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0.09</w:t>
            </w:r>
          </w:p>
        </w:tc>
        <w:tc>
          <w:tcPr>
            <w:tcW w:w="794" w:type="dxa"/>
            <w:shd w:val="clear" w:color="auto" w:fill="auto"/>
            <w:noWrap/>
            <w:vAlign w:val="bottom"/>
            <w:hideMark/>
          </w:tcPr>
          <w:p w14:paraId="2EAF5801"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0.30</w:t>
            </w:r>
          </w:p>
        </w:tc>
        <w:tc>
          <w:tcPr>
            <w:tcW w:w="750" w:type="dxa"/>
            <w:shd w:val="clear" w:color="auto" w:fill="auto"/>
            <w:noWrap/>
            <w:vAlign w:val="bottom"/>
            <w:hideMark/>
          </w:tcPr>
          <w:p w14:paraId="17CFE699"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0.33</w:t>
            </w:r>
          </w:p>
        </w:tc>
        <w:tc>
          <w:tcPr>
            <w:tcW w:w="988" w:type="dxa"/>
            <w:shd w:val="clear" w:color="auto" w:fill="auto"/>
            <w:noWrap/>
            <w:vAlign w:val="bottom"/>
            <w:hideMark/>
          </w:tcPr>
          <w:p w14:paraId="1DCE32F5"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0.34</w:t>
            </w:r>
          </w:p>
        </w:tc>
        <w:tc>
          <w:tcPr>
            <w:tcW w:w="749" w:type="dxa"/>
            <w:shd w:val="clear" w:color="auto" w:fill="auto"/>
            <w:noWrap/>
            <w:vAlign w:val="bottom"/>
            <w:hideMark/>
          </w:tcPr>
          <w:p w14:paraId="0A859D66"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0.27</w:t>
            </w:r>
          </w:p>
        </w:tc>
      </w:tr>
      <w:tr w:rsidR="008E043D" w:rsidRPr="00302B84" w14:paraId="3E904D84" w14:textId="77777777" w:rsidTr="0026405B">
        <w:trPr>
          <w:trHeight w:val="300"/>
        </w:trPr>
        <w:tc>
          <w:tcPr>
            <w:tcW w:w="990" w:type="dxa"/>
            <w:shd w:val="clear" w:color="auto" w:fill="auto"/>
            <w:noWrap/>
            <w:vAlign w:val="bottom"/>
            <w:hideMark/>
          </w:tcPr>
          <w:p w14:paraId="28D52970" w14:textId="77777777" w:rsidR="008E043D" w:rsidRPr="00302B84" w:rsidRDefault="008E043D" w:rsidP="008E043D">
            <w:pPr>
              <w:spacing w:after="0" w:line="240" w:lineRule="auto"/>
              <w:jc w:val="center"/>
              <w:rPr>
                <w:rFonts w:ascii="Arial" w:eastAsia="Times New Roman" w:hAnsi="Arial" w:cs="Arial"/>
                <w:sz w:val="20"/>
                <w:szCs w:val="20"/>
              </w:rPr>
            </w:pPr>
            <w:r w:rsidRPr="00302B84">
              <w:rPr>
                <w:rFonts w:ascii="Arial" w:eastAsia="Times New Roman" w:hAnsi="Arial" w:cs="Arial"/>
                <w:sz w:val="20"/>
                <w:szCs w:val="20"/>
              </w:rPr>
              <w:t>&gt; 20%</w:t>
            </w:r>
          </w:p>
        </w:tc>
        <w:tc>
          <w:tcPr>
            <w:tcW w:w="606" w:type="dxa"/>
            <w:shd w:val="clear" w:color="auto" w:fill="auto"/>
            <w:noWrap/>
            <w:vAlign w:val="bottom"/>
            <w:hideMark/>
          </w:tcPr>
          <w:p w14:paraId="14A38222"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0.39</w:t>
            </w:r>
          </w:p>
        </w:tc>
        <w:tc>
          <w:tcPr>
            <w:tcW w:w="961" w:type="dxa"/>
            <w:shd w:val="clear" w:color="auto" w:fill="auto"/>
            <w:noWrap/>
            <w:vAlign w:val="bottom"/>
            <w:hideMark/>
          </w:tcPr>
          <w:p w14:paraId="5FC42106"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0.70</w:t>
            </w:r>
          </w:p>
        </w:tc>
        <w:tc>
          <w:tcPr>
            <w:tcW w:w="1039" w:type="dxa"/>
            <w:shd w:val="clear" w:color="auto" w:fill="auto"/>
            <w:noWrap/>
            <w:vAlign w:val="bottom"/>
            <w:hideMark/>
          </w:tcPr>
          <w:p w14:paraId="0233D8BF"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0.20</w:t>
            </w:r>
          </w:p>
        </w:tc>
        <w:tc>
          <w:tcPr>
            <w:tcW w:w="1137" w:type="dxa"/>
            <w:shd w:val="clear" w:color="auto" w:fill="auto"/>
            <w:noWrap/>
            <w:vAlign w:val="bottom"/>
            <w:hideMark/>
          </w:tcPr>
          <w:p w14:paraId="1A0ECAA4"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0.62</w:t>
            </w:r>
          </w:p>
        </w:tc>
        <w:tc>
          <w:tcPr>
            <w:tcW w:w="1050" w:type="dxa"/>
            <w:shd w:val="clear" w:color="auto" w:fill="auto"/>
            <w:noWrap/>
            <w:vAlign w:val="bottom"/>
            <w:hideMark/>
          </w:tcPr>
          <w:p w14:paraId="4480B259"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0.20</w:t>
            </w:r>
          </w:p>
        </w:tc>
        <w:tc>
          <w:tcPr>
            <w:tcW w:w="794" w:type="dxa"/>
            <w:shd w:val="clear" w:color="auto" w:fill="auto"/>
            <w:noWrap/>
            <w:vAlign w:val="bottom"/>
            <w:hideMark/>
          </w:tcPr>
          <w:p w14:paraId="1846D6BA"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0.39</w:t>
            </w:r>
          </w:p>
        </w:tc>
        <w:tc>
          <w:tcPr>
            <w:tcW w:w="750" w:type="dxa"/>
            <w:shd w:val="clear" w:color="auto" w:fill="auto"/>
            <w:noWrap/>
            <w:vAlign w:val="bottom"/>
            <w:hideMark/>
          </w:tcPr>
          <w:p w14:paraId="70A8619A"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0.37</w:t>
            </w:r>
          </w:p>
        </w:tc>
        <w:tc>
          <w:tcPr>
            <w:tcW w:w="988" w:type="dxa"/>
            <w:shd w:val="clear" w:color="auto" w:fill="auto"/>
            <w:noWrap/>
            <w:vAlign w:val="bottom"/>
            <w:hideMark/>
          </w:tcPr>
          <w:p w14:paraId="06B54E74"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0.41</w:t>
            </w:r>
          </w:p>
        </w:tc>
        <w:tc>
          <w:tcPr>
            <w:tcW w:w="749" w:type="dxa"/>
            <w:shd w:val="clear" w:color="auto" w:fill="auto"/>
            <w:noWrap/>
            <w:vAlign w:val="bottom"/>
            <w:hideMark/>
          </w:tcPr>
          <w:p w14:paraId="748F7534"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0.42</w:t>
            </w:r>
          </w:p>
        </w:tc>
      </w:tr>
      <w:tr w:rsidR="008E043D" w:rsidRPr="00302B84" w14:paraId="50911861" w14:textId="77777777" w:rsidTr="0026405B">
        <w:trPr>
          <w:trHeight w:val="300"/>
        </w:trPr>
        <w:tc>
          <w:tcPr>
            <w:tcW w:w="990" w:type="dxa"/>
            <w:shd w:val="clear" w:color="auto" w:fill="auto"/>
            <w:noWrap/>
            <w:vAlign w:val="bottom"/>
            <w:hideMark/>
          </w:tcPr>
          <w:p w14:paraId="40FAA415" w14:textId="77777777" w:rsidR="008E043D" w:rsidRPr="00302B84" w:rsidRDefault="008E043D" w:rsidP="008E043D">
            <w:pPr>
              <w:spacing w:after="0" w:line="240" w:lineRule="auto"/>
              <w:jc w:val="center"/>
              <w:rPr>
                <w:rFonts w:ascii="Arial" w:eastAsia="Times New Roman" w:hAnsi="Arial" w:cs="Arial"/>
                <w:sz w:val="20"/>
                <w:szCs w:val="20"/>
              </w:rPr>
            </w:pPr>
            <w:r w:rsidRPr="00302B84">
              <w:rPr>
                <w:rFonts w:ascii="Arial" w:eastAsia="Times New Roman" w:hAnsi="Arial" w:cs="Arial"/>
                <w:sz w:val="20"/>
                <w:szCs w:val="20"/>
              </w:rPr>
              <w:t>20-25%</w:t>
            </w:r>
          </w:p>
        </w:tc>
        <w:tc>
          <w:tcPr>
            <w:tcW w:w="606" w:type="dxa"/>
            <w:shd w:val="clear" w:color="auto" w:fill="auto"/>
            <w:noWrap/>
            <w:vAlign w:val="bottom"/>
            <w:hideMark/>
          </w:tcPr>
          <w:p w14:paraId="6A759F61"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0.42</w:t>
            </w:r>
          </w:p>
        </w:tc>
        <w:tc>
          <w:tcPr>
            <w:tcW w:w="961" w:type="dxa"/>
            <w:shd w:val="clear" w:color="auto" w:fill="auto"/>
            <w:noWrap/>
            <w:vAlign w:val="bottom"/>
            <w:hideMark/>
          </w:tcPr>
          <w:p w14:paraId="3D703FB4" w14:textId="77777777" w:rsidR="008E043D" w:rsidRPr="00302B84" w:rsidRDefault="008E043D" w:rsidP="008E043D">
            <w:pPr>
              <w:spacing w:after="0" w:line="240" w:lineRule="auto"/>
              <w:jc w:val="center"/>
              <w:rPr>
                <w:rFonts w:ascii="Arial" w:eastAsia="Times New Roman" w:hAnsi="Arial" w:cs="Arial"/>
                <w:color w:val="000000"/>
                <w:sz w:val="20"/>
                <w:szCs w:val="20"/>
              </w:rPr>
            </w:pPr>
          </w:p>
        </w:tc>
        <w:tc>
          <w:tcPr>
            <w:tcW w:w="1039" w:type="dxa"/>
            <w:shd w:val="clear" w:color="auto" w:fill="auto"/>
            <w:noWrap/>
            <w:vAlign w:val="bottom"/>
            <w:hideMark/>
          </w:tcPr>
          <w:p w14:paraId="1648B2B6" w14:textId="77777777" w:rsidR="008E043D" w:rsidRPr="00302B84" w:rsidRDefault="008E043D" w:rsidP="008E043D">
            <w:pPr>
              <w:spacing w:after="0" w:line="240" w:lineRule="auto"/>
              <w:jc w:val="center"/>
              <w:rPr>
                <w:rFonts w:ascii="Arial" w:eastAsia="Times New Roman" w:hAnsi="Arial" w:cs="Arial"/>
                <w:sz w:val="20"/>
                <w:szCs w:val="20"/>
              </w:rPr>
            </w:pPr>
          </w:p>
        </w:tc>
        <w:tc>
          <w:tcPr>
            <w:tcW w:w="1137" w:type="dxa"/>
            <w:shd w:val="clear" w:color="auto" w:fill="auto"/>
            <w:noWrap/>
            <w:vAlign w:val="bottom"/>
            <w:hideMark/>
          </w:tcPr>
          <w:p w14:paraId="7DFCAD2E" w14:textId="77777777" w:rsidR="008E043D" w:rsidRPr="00302B84" w:rsidRDefault="008E043D" w:rsidP="008E043D">
            <w:pPr>
              <w:spacing w:after="0" w:line="240" w:lineRule="auto"/>
              <w:jc w:val="center"/>
              <w:rPr>
                <w:rFonts w:ascii="Arial" w:eastAsia="Times New Roman" w:hAnsi="Arial" w:cs="Arial"/>
                <w:sz w:val="20"/>
                <w:szCs w:val="20"/>
              </w:rPr>
            </w:pPr>
          </w:p>
        </w:tc>
        <w:tc>
          <w:tcPr>
            <w:tcW w:w="1050" w:type="dxa"/>
            <w:shd w:val="clear" w:color="auto" w:fill="auto"/>
            <w:noWrap/>
            <w:vAlign w:val="bottom"/>
            <w:hideMark/>
          </w:tcPr>
          <w:p w14:paraId="618CBF56" w14:textId="77777777" w:rsidR="008E043D" w:rsidRPr="00302B84" w:rsidRDefault="008E043D" w:rsidP="008E043D">
            <w:pPr>
              <w:spacing w:after="0" w:line="240" w:lineRule="auto"/>
              <w:jc w:val="center"/>
              <w:rPr>
                <w:rFonts w:ascii="Arial" w:eastAsia="Times New Roman" w:hAnsi="Arial" w:cs="Arial"/>
                <w:sz w:val="20"/>
                <w:szCs w:val="20"/>
              </w:rPr>
            </w:pPr>
          </w:p>
        </w:tc>
        <w:tc>
          <w:tcPr>
            <w:tcW w:w="794" w:type="dxa"/>
            <w:shd w:val="clear" w:color="auto" w:fill="auto"/>
            <w:noWrap/>
            <w:vAlign w:val="bottom"/>
            <w:hideMark/>
          </w:tcPr>
          <w:p w14:paraId="6F95295F" w14:textId="77777777" w:rsidR="008E043D" w:rsidRPr="00302B84" w:rsidRDefault="008E043D" w:rsidP="008E043D">
            <w:pPr>
              <w:spacing w:after="0" w:line="240" w:lineRule="auto"/>
              <w:jc w:val="center"/>
              <w:rPr>
                <w:rFonts w:ascii="Arial" w:eastAsia="Times New Roman" w:hAnsi="Arial" w:cs="Arial"/>
                <w:sz w:val="20"/>
                <w:szCs w:val="20"/>
              </w:rPr>
            </w:pPr>
          </w:p>
        </w:tc>
        <w:tc>
          <w:tcPr>
            <w:tcW w:w="750" w:type="dxa"/>
            <w:shd w:val="clear" w:color="auto" w:fill="auto"/>
            <w:noWrap/>
            <w:vAlign w:val="bottom"/>
            <w:hideMark/>
          </w:tcPr>
          <w:p w14:paraId="48610744" w14:textId="77777777" w:rsidR="008E043D" w:rsidRPr="00302B84" w:rsidRDefault="008E043D" w:rsidP="008E043D">
            <w:pPr>
              <w:spacing w:after="0" w:line="240" w:lineRule="auto"/>
              <w:jc w:val="center"/>
              <w:rPr>
                <w:rFonts w:ascii="Arial" w:eastAsia="Times New Roman" w:hAnsi="Arial" w:cs="Arial"/>
                <w:sz w:val="20"/>
                <w:szCs w:val="20"/>
              </w:rPr>
            </w:pPr>
          </w:p>
        </w:tc>
        <w:tc>
          <w:tcPr>
            <w:tcW w:w="988" w:type="dxa"/>
            <w:shd w:val="clear" w:color="auto" w:fill="auto"/>
            <w:noWrap/>
            <w:vAlign w:val="bottom"/>
            <w:hideMark/>
          </w:tcPr>
          <w:p w14:paraId="4D6088F4" w14:textId="77777777" w:rsidR="008E043D" w:rsidRPr="00302B84" w:rsidRDefault="008E043D" w:rsidP="008E043D">
            <w:pPr>
              <w:spacing w:after="0" w:line="240" w:lineRule="auto"/>
              <w:jc w:val="center"/>
              <w:rPr>
                <w:rFonts w:ascii="Arial" w:eastAsia="Times New Roman" w:hAnsi="Arial" w:cs="Arial"/>
                <w:sz w:val="20"/>
                <w:szCs w:val="20"/>
              </w:rPr>
            </w:pPr>
          </w:p>
        </w:tc>
        <w:tc>
          <w:tcPr>
            <w:tcW w:w="749" w:type="dxa"/>
            <w:shd w:val="clear" w:color="auto" w:fill="auto"/>
            <w:noWrap/>
            <w:vAlign w:val="bottom"/>
            <w:hideMark/>
          </w:tcPr>
          <w:p w14:paraId="0B72DCE6" w14:textId="77777777" w:rsidR="008E043D" w:rsidRPr="00302B84" w:rsidRDefault="008E043D" w:rsidP="008E043D">
            <w:pPr>
              <w:spacing w:after="0" w:line="240" w:lineRule="auto"/>
              <w:jc w:val="center"/>
              <w:rPr>
                <w:rFonts w:ascii="Arial" w:eastAsia="Times New Roman" w:hAnsi="Arial" w:cs="Arial"/>
                <w:sz w:val="20"/>
                <w:szCs w:val="20"/>
              </w:rPr>
            </w:pPr>
          </w:p>
        </w:tc>
      </w:tr>
      <w:tr w:rsidR="008E043D" w:rsidRPr="008E043D" w14:paraId="197517A0" w14:textId="77777777" w:rsidTr="0026405B">
        <w:trPr>
          <w:trHeight w:val="300"/>
        </w:trPr>
        <w:tc>
          <w:tcPr>
            <w:tcW w:w="990" w:type="dxa"/>
            <w:shd w:val="clear" w:color="auto" w:fill="auto"/>
            <w:noWrap/>
            <w:vAlign w:val="bottom"/>
            <w:hideMark/>
          </w:tcPr>
          <w:p w14:paraId="69611D3F" w14:textId="77777777" w:rsidR="008E043D" w:rsidRPr="00302B84" w:rsidRDefault="008E043D" w:rsidP="008E043D">
            <w:pPr>
              <w:spacing w:after="0" w:line="240" w:lineRule="auto"/>
              <w:jc w:val="center"/>
              <w:rPr>
                <w:rFonts w:ascii="Arial" w:eastAsia="Times New Roman" w:hAnsi="Arial" w:cs="Arial"/>
                <w:sz w:val="20"/>
                <w:szCs w:val="20"/>
              </w:rPr>
            </w:pPr>
            <w:r w:rsidRPr="00302B84">
              <w:rPr>
                <w:rFonts w:ascii="Arial" w:eastAsia="Times New Roman" w:hAnsi="Arial" w:cs="Arial"/>
                <w:sz w:val="20"/>
                <w:szCs w:val="20"/>
              </w:rPr>
              <w:t>25-30%</w:t>
            </w:r>
          </w:p>
        </w:tc>
        <w:tc>
          <w:tcPr>
            <w:tcW w:w="606" w:type="dxa"/>
            <w:shd w:val="clear" w:color="auto" w:fill="auto"/>
            <w:noWrap/>
            <w:vAlign w:val="bottom"/>
            <w:hideMark/>
          </w:tcPr>
          <w:p w14:paraId="4DABFC30"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0.41</w:t>
            </w:r>
          </w:p>
        </w:tc>
        <w:tc>
          <w:tcPr>
            <w:tcW w:w="961" w:type="dxa"/>
            <w:shd w:val="clear" w:color="auto" w:fill="auto"/>
            <w:noWrap/>
            <w:vAlign w:val="bottom"/>
            <w:hideMark/>
          </w:tcPr>
          <w:p w14:paraId="59F69268" w14:textId="77777777" w:rsidR="008E043D" w:rsidRPr="00302B84" w:rsidRDefault="008E043D" w:rsidP="008E043D">
            <w:pPr>
              <w:spacing w:after="0" w:line="240" w:lineRule="auto"/>
              <w:jc w:val="center"/>
              <w:rPr>
                <w:rFonts w:ascii="Arial" w:eastAsia="Times New Roman" w:hAnsi="Arial" w:cs="Arial"/>
                <w:color w:val="000000"/>
                <w:sz w:val="20"/>
                <w:szCs w:val="20"/>
              </w:rPr>
            </w:pPr>
          </w:p>
        </w:tc>
        <w:tc>
          <w:tcPr>
            <w:tcW w:w="1039" w:type="dxa"/>
            <w:shd w:val="clear" w:color="auto" w:fill="auto"/>
            <w:noWrap/>
            <w:vAlign w:val="bottom"/>
            <w:hideMark/>
          </w:tcPr>
          <w:p w14:paraId="635B78DF" w14:textId="77777777" w:rsidR="008E043D" w:rsidRPr="00302B84" w:rsidRDefault="008E043D" w:rsidP="008E043D">
            <w:pPr>
              <w:spacing w:after="0" w:line="240" w:lineRule="auto"/>
              <w:jc w:val="center"/>
              <w:rPr>
                <w:rFonts w:ascii="Arial" w:eastAsia="Times New Roman" w:hAnsi="Arial" w:cs="Arial"/>
                <w:sz w:val="20"/>
                <w:szCs w:val="20"/>
              </w:rPr>
            </w:pPr>
          </w:p>
        </w:tc>
        <w:tc>
          <w:tcPr>
            <w:tcW w:w="1137" w:type="dxa"/>
            <w:shd w:val="clear" w:color="auto" w:fill="auto"/>
            <w:noWrap/>
            <w:vAlign w:val="bottom"/>
            <w:hideMark/>
          </w:tcPr>
          <w:p w14:paraId="4738DBBA" w14:textId="77777777" w:rsidR="008E043D" w:rsidRPr="00302B84" w:rsidRDefault="008E043D" w:rsidP="008E043D">
            <w:pPr>
              <w:spacing w:after="0" w:line="240" w:lineRule="auto"/>
              <w:jc w:val="center"/>
              <w:rPr>
                <w:rFonts w:ascii="Arial" w:eastAsia="Times New Roman" w:hAnsi="Arial" w:cs="Arial"/>
                <w:sz w:val="20"/>
                <w:szCs w:val="20"/>
              </w:rPr>
            </w:pPr>
          </w:p>
        </w:tc>
        <w:tc>
          <w:tcPr>
            <w:tcW w:w="1050" w:type="dxa"/>
            <w:shd w:val="clear" w:color="auto" w:fill="auto"/>
            <w:noWrap/>
            <w:vAlign w:val="bottom"/>
            <w:hideMark/>
          </w:tcPr>
          <w:p w14:paraId="6B524ACE" w14:textId="77777777" w:rsidR="008E043D" w:rsidRPr="00302B84" w:rsidRDefault="008E043D" w:rsidP="008E043D">
            <w:pPr>
              <w:spacing w:after="0" w:line="240" w:lineRule="auto"/>
              <w:jc w:val="center"/>
              <w:rPr>
                <w:rFonts w:ascii="Arial" w:eastAsia="Times New Roman" w:hAnsi="Arial" w:cs="Arial"/>
                <w:sz w:val="20"/>
                <w:szCs w:val="20"/>
              </w:rPr>
            </w:pPr>
          </w:p>
        </w:tc>
        <w:tc>
          <w:tcPr>
            <w:tcW w:w="794" w:type="dxa"/>
            <w:shd w:val="clear" w:color="auto" w:fill="auto"/>
            <w:noWrap/>
            <w:vAlign w:val="bottom"/>
            <w:hideMark/>
          </w:tcPr>
          <w:p w14:paraId="4F0CB1AD" w14:textId="77777777" w:rsidR="008E043D" w:rsidRPr="00302B84" w:rsidRDefault="008E043D" w:rsidP="008E043D">
            <w:pPr>
              <w:spacing w:after="0" w:line="240" w:lineRule="auto"/>
              <w:jc w:val="center"/>
              <w:rPr>
                <w:rFonts w:ascii="Arial" w:eastAsia="Times New Roman" w:hAnsi="Arial" w:cs="Arial"/>
                <w:sz w:val="20"/>
                <w:szCs w:val="20"/>
              </w:rPr>
            </w:pPr>
          </w:p>
        </w:tc>
        <w:tc>
          <w:tcPr>
            <w:tcW w:w="750" w:type="dxa"/>
            <w:shd w:val="clear" w:color="auto" w:fill="auto"/>
            <w:noWrap/>
            <w:vAlign w:val="bottom"/>
            <w:hideMark/>
          </w:tcPr>
          <w:p w14:paraId="350928F8" w14:textId="77777777" w:rsidR="008E043D" w:rsidRPr="00302B84" w:rsidRDefault="008E043D" w:rsidP="008E043D">
            <w:pPr>
              <w:spacing w:after="0" w:line="240" w:lineRule="auto"/>
              <w:jc w:val="center"/>
              <w:rPr>
                <w:rFonts w:ascii="Arial" w:eastAsia="Times New Roman" w:hAnsi="Arial" w:cs="Arial"/>
                <w:sz w:val="20"/>
                <w:szCs w:val="20"/>
              </w:rPr>
            </w:pPr>
          </w:p>
        </w:tc>
        <w:tc>
          <w:tcPr>
            <w:tcW w:w="988" w:type="dxa"/>
            <w:shd w:val="clear" w:color="auto" w:fill="auto"/>
            <w:noWrap/>
            <w:vAlign w:val="bottom"/>
            <w:hideMark/>
          </w:tcPr>
          <w:p w14:paraId="3B7573E2" w14:textId="77777777" w:rsidR="008E043D" w:rsidRPr="008E043D" w:rsidRDefault="008E043D" w:rsidP="008E043D">
            <w:pPr>
              <w:spacing w:after="0" w:line="240" w:lineRule="auto"/>
              <w:jc w:val="center"/>
              <w:rPr>
                <w:rFonts w:ascii="Times New Roman" w:eastAsia="Times New Roman" w:hAnsi="Times New Roman" w:cs="Times New Roman"/>
                <w:sz w:val="20"/>
                <w:szCs w:val="20"/>
              </w:rPr>
            </w:pPr>
          </w:p>
        </w:tc>
        <w:tc>
          <w:tcPr>
            <w:tcW w:w="749" w:type="dxa"/>
            <w:shd w:val="clear" w:color="auto" w:fill="auto"/>
            <w:noWrap/>
            <w:vAlign w:val="bottom"/>
            <w:hideMark/>
          </w:tcPr>
          <w:p w14:paraId="23EB6B03" w14:textId="77777777" w:rsidR="008E043D" w:rsidRPr="008E043D" w:rsidRDefault="008E043D" w:rsidP="008E043D">
            <w:pPr>
              <w:spacing w:after="0" w:line="240" w:lineRule="auto"/>
              <w:jc w:val="center"/>
              <w:rPr>
                <w:rFonts w:ascii="Times New Roman" w:eastAsia="Times New Roman" w:hAnsi="Times New Roman" w:cs="Times New Roman"/>
                <w:sz w:val="20"/>
                <w:szCs w:val="20"/>
              </w:rPr>
            </w:pPr>
          </w:p>
        </w:tc>
      </w:tr>
      <w:tr w:rsidR="008E043D" w:rsidRPr="008E043D" w14:paraId="1DDD21C6" w14:textId="77777777" w:rsidTr="0026405B">
        <w:trPr>
          <w:trHeight w:val="300"/>
        </w:trPr>
        <w:tc>
          <w:tcPr>
            <w:tcW w:w="990" w:type="dxa"/>
            <w:shd w:val="clear" w:color="auto" w:fill="auto"/>
            <w:noWrap/>
            <w:vAlign w:val="bottom"/>
            <w:hideMark/>
          </w:tcPr>
          <w:p w14:paraId="3C181E2E" w14:textId="77777777" w:rsidR="008E043D" w:rsidRPr="00302B84" w:rsidRDefault="008E043D" w:rsidP="008E043D">
            <w:pPr>
              <w:spacing w:after="0" w:line="240" w:lineRule="auto"/>
              <w:jc w:val="center"/>
              <w:rPr>
                <w:rFonts w:ascii="Arial" w:eastAsia="Times New Roman" w:hAnsi="Arial" w:cs="Arial"/>
                <w:sz w:val="20"/>
                <w:szCs w:val="20"/>
              </w:rPr>
            </w:pPr>
            <w:r w:rsidRPr="00302B84">
              <w:rPr>
                <w:rFonts w:ascii="Arial" w:eastAsia="Times New Roman" w:hAnsi="Arial" w:cs="Arial"/>
                <w:sz w:val="20"/>
                <w:szCs w:val="20"/>
              </w:rPr>
              <w:t>&gt;30%</w:t>
            </w:r>
          </w:p>
        </w:tc>
        <w:tc>
          <w:tcPr>
            <w:tcW w:w="606" w:type="dxa"/>
            <w:shd w:val="clear" w:color="auto" w:fill="auto"/>
            <w:noWrap/>
            <w:vAlign w:val="bottom"/>
            <w:hideMark/>
          </w:tcPr>
          <w:p w14:paraId="044AA860"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0.35</w:t>
            </w:r>
          </w:p>
        </w:tc>
        <w:tc>
          <w:tcPr>
            <w:tcW w:w="961" w:type="dxa"/>
            <w:shd w:val="clear" w:color="auto" w:fill="auto"/>
            <w:noWrap/>
            <w:vAlign w:val="bottom"/>
            <w:hideMark/>
          </w:tcPr>
          <w:p w14:paraId="3F2A204D" w14:textId="77777777" w:rsidR="008E043D" w:rsidRPr="00302B84" w:rsidRDefault="008E043D" w:rsidP="008E043D">
            <w:pPr>
              <w:spacing w:after="0" w:line="240" w:lineRule="auto"/>
              <w:jc w:val="center"/>
              <w:rPr>
                <w:rFonts w:ascii="Arial" w:eastAsia="Times New Roman" w:hAnsi="Arial" w:cs="Arial"/>
                <w:color w:val="000000"/>
                <w:sz w:val="20"/>
                <w:szCs w:val="20"/>
              </w:rPr>
            </w:pPr>
          </w:p>
        </w:tc>
        <w:tc>
          <w:tcPr>
            <w:tcW w:w="1039" w:type="dxa"/>
            <w:shd w:val="clear" w:color="auto" w:fill="auto"/>
            <w:noWrap/>
            <w:vAlign w:val="bottom"/>
            <w:hideMark/>
          </w:tcPr>
          <w:p w14:paraId="4E25F101" w14:textId="77777777" w:rsidR="008E043D" w:rsidRPr="00302B84" w:rsidRDefault="008E043D" w:rsidP="008E043D">
            <w:pPr>
              <w:spacing w:after="0" w:line="240" w:lineRule="auto"/>
              <w:jc w:val="center"/>
              <w:rPr>
                <w:rFonts w:ascii="Arial" w:eastAsia="Times New Roman" w:hAnsi="Arial" w:cs="Arial"/>
                <w:sz w:val="20"/>
                <w:szCs w:val="20"/>
              </w:rPr>
            </w:pPr>
          </w:p>
        </w:tc>
        <w:tc>
          <w:tcPr>
            <w:tcW w:w="1137" w:type="dxa"/>
            <w:shd w:val="clear" w:color="auto" w:fill="auto"/>
            <w:noWrap/>
            <w:vAlign w:val="bottom"/>
            <w:hideMark/>
          </w:tcPr>
          <w:p w14:paraId="209B94B3" w14:textId="77777777" w:rsidR="008E043D" w:rsidRPr="00302B84" w:rsidRDefault="008E043D" w:rsidP="008E043D">
            <w:pPr>
              <w:spacing w:after="0" w:line="240" w:lineRule="auto"/>
              <w:jc w:val="center"/>
              <w:rPr>
                <w:rFonts w:ascii="Arial" w:eastAsia="Times New Roman" w:hAnsi="Arial" w:cs="Arial"/>
                <w:sz w:val="20"/>
                <w:szCs w:val="20"/>
              </w:rPr>
            </w:pPr>
          </w:p>
        </w:tc>
        <w:tc>
          <w:tcPr>
            <w:tcW w:w="1050" w:type="dxa"/>
            <w:shd w:val="clear" w:color="auto" w:fill="auto"/>
            <w:noWrap/>
            <w:vAlign w:val="bottom"/>
            <w:hideMark/>
          </w:tcPr>
          <w:p w14:paraId="0BA448A2" w14:textId="77777777" w:rsidR="008E043D" w:rsidRPr="00302B84" w:rsidRDefault="008E043D" w:rsidP="008E043D">
            <w:pPr>
              <w:spacing w:after="0" w:line="240" w:lineRule="auto"/>
              <w:jc w:val="center"/>
              <w:rPr>
                <w:rFonts w:ascii="Arial" w:eastAsia="Times New Roman" w:hAnsi="Arial" w:cs="Arial"/>
                <w:sz w:val="20"/>
                <w:szCs w:val="20"/>
              </w:rPr>
            </w:pPr>
          </w:p>
        </w:tc>
        <w:tc>
          <w:tcPr>
            <w:tcW w:w="794" w:type="dxa"/>
            <w:shd w:val="clear" w:color="auto" w:fill="auto"/>
            <w:noWrap/>
            <w:vAlign w:val="bottom"/>
            <w:hideMark/>
          </w:tcPr>
          <w:p w14:paraId="38832BC5" w14:textId="77777777" w:rsidR="008E043D" w:rsidRPr="00302B84" w:rsidRDefault="008E043D" w:rsidP="008E043D">
            <w:pPr>
              <w:spacing w:after="0" w:line="240" w:lineRule="auto"/>
              <w:jc w:val="center"/>
              <w:rPr>
                <w:rFonts w:ascii="Arial" w:eastAsia="Times New Roman" w:hAnsi="Arial" w:cs="Arial"/>
                <w:sz w:val="20"/>
                <w:szCs w:val="20"/>
              </w:rPr>
            </w:pPr>
          </w:p>
        </w:tc>
        <w:tc>
          <w:tcPr>
            <w:tcW w:w="750" w:type="dxa"/>
            <w:shd w:val="clear" w:color="auto" w:fill="auto"/>
            <w:noWrap/>
            <w:vAlign w:val="bottom"/>
            <w:hideMark/>
          </w:tcPr>
          <w:p w14:paraId="1B32F1E5" w14:textId="77777777" w:rsidR="008E043D" w:rsidRPr="00302B84" w:rsidRDefault="008E043D" w:rsidP="008E043D">
            <w:pPr>
              <w:spacing w:after="0" w:line="240" w:lineRule="auto"/>
              <w:jc w:val="center"/>
              <w:rPr>
                <w:rFonts w:ascii="Arial" w:eastAsia="Times New Roman" w:hAnsi="Arial" w:cs="Arial"/>
                <w:sz w:val="20"/>
                <w:szCs w:val="20"/>
              </w:rPr>
            </w:pPr>
          </w:p>
        </w:tc>
        <w:tc>
          <w:tcPr>
            <w:tcW w:w="988" w:type="dxa"/>
            <w:shd w:val="clear" w:color="auto" w:fill="auto"/>
            <w:noWrap/>
            <w:vAlign w:val="bottom"/>
            <w:hideMark/>
          </w:tcPr>
          <w:p w14:paraId="0C76A30E" w14:textId="77777777" w:rsidR="008E043D" w:rsidRPr="008E043D" w:rsidRDefault="008E043D" w:rsidP="008E043D">
            <w:pPr>
              <w:spacing w:after="0" w:line="240" w:lineRule="auto"/>
              <w:jc w:val="center"/>
              <w:rPr>
                <w:rFonts w:ascii="Times New Roman" w:eastAsia="Times New Roman" w:hAnsi="Times New Roman" w:cs="Times New Roman"/>
                <w:sz w:val="20"/>
                <w:szCs w:val="20"/>
              </w:rPr>
            </w:pPr>
          </w:p>
        </w:tc>
        <w:tc>
          <w:tcPr>
            <w:tcW w:w="749" w:type="dxa"/>
            <w:shd w:val="clear" w:color="auto" w:fill="auto"/>
            <w:noWrap/>
            <w:vAlign w:val="bottom"/>
            <w:hideMark/>
          </w:tcPr>
          <w:p w14:paraId="3E5A00CA" w14:textId="77777777" w:rsidR="008E043D" w:rsidRPr="008E043D" w:rsidRDefault="008E043D" w:rsidP="008E043D">
            <w:pPr>
              <w:spacing w:after="0" w:line="240" w:lineRule="auto"/>
              <w:jc w:val="center"/>
              <w:rPr>
                <w:rFonts w:ascii="Times New Roman" w:eastAsia="Times New Roman" w:hAnsi="Times New Roman" w:cs="Times New Roman"/>
                <w:sz w:val="20"/>
                <w:szCs w:val="20"/>
              </w:rPr>
            </w:pPr>
          </w:p>
        </w:tc>
      </w:tr>
      <w:tr w:rsidR="008E043D" w:rsidRPr="008E043D" w14:paraId="28DD4E61" w14:textId="77777777" w:rsidTr="0026405B">
        <w:trPr>
          <w:trHeight w:val="300"/>
        </w:trPr>
        <w:tc>
          <w:tcPr>
            <w:tcW w:w="990" w:type="dxa"/>
            <w:shd w:val="clear" w:color="auto" w:fill="auto"/>
            <w:noWrap/>
            <w:vAlign w:val="bottom"/>
            <w:hideMark/>
          </w:tcPr>
          <w:p w14:paraId="47655AFB" w14:textId="77777777" w:rsidR="008E043D" w:rsidRPr="00302B84" w:rsidRDefault="008E043D" w:rsidP="008E043D">
            <w:pPr>
              <w:spacing w:after="0" w:line="240" w:lineRule="auto"/>
              <w:jc w:val="center"/>
              <w:rPr>
                <w:rFonts w:ascii="Arial" w:eastAsia="Times New Roman" w:hAnsi="Arial" w:cs="Arial"/>
                <w:sz w:val="20"/>
                <w:szCs w:val="20"/>
              </w:rPr>
            </w:pPr>
          </w:p>
        </w:tc>
        <w:tc>
          <w:tcPr>
            <w:tcW w:w="606" w:type="dxa"/>
            <w:shd w:val="clear" w:color="auto" w:fill="auto"/>
            <w:noWrap/>
            <w:vAlign w:val="bottom"/>
            <w:hideMark/>
          </w:tcPr>
          <w:p w14:paraId="166035EA" w14:textId="77777777" w:rsidR="008E043D" w:rsidRPr="00302B84" w:rsidRDefault="008E043D" w:rsidP="008E043D">
            <w:pPr>
              <w:spacing w:after="0" w:line="240" w:lineRule="auto"/>
              <w:jc w:val="center"/>
              <w:rPr>
                <w:rFonts w:ascii="Arial" w:eastAsia="Times New Roman" w:hAnsi="Arial" w:cs="Arial"/>
                <w:sz w:val="20"/>
                <w:szCs w:val="20"/>
              </w:rPr>
            </w:pPr>
          </w:p>
        </w:tc>
        <w:tc>
          <w:tcPr>
            <w:tcW w:w="961" w:type="dxa"/>
            <w:shd w:val="clear" w:color="auto" w:fill="auto"/>
            <w:noWrap/>
            <w:vAlign w:val="bottom"/>
            <w:hideMark/>
          </w:tcPr>
          <w:p w14:paraId="0401069D" w14:textId="77777777" w:rsidR="008E043D" w:rsidRPr="00302B84" w:rsidRDefault="008E043D" w:rsidP="008E043D">
            <w:pPr>
              <w:spacing w:after="0" w:line="240" w:lineRule="auto"/>
              <w:jc w:val="center"/>
              <w:rPr>
                <w:rFonts w:ascii="Arial" w:eastAsia="Times New Roman" w:hAnsi="Arial" w:cs="Arial"/>
                <w:sz w:val="20"/>
                <w:szCs w:val="20"/>
              </w:rPr>
            </w:pPr>
          </w:p>
        </w:tc>
        <w:tc>
          <w:tcPr>
            <w:tcW w:w="1039" w:type="dxa"/>
            <w:shd w:val="clear" w:color="auto" w:fill="auto"/>
            <w:noWrap/>
            <w:vAlign w:val="bottom"/>
            <w:hideMark/>
          </w:tcPr>
          <w:p w14:paraId="366755C8" w14:textId="77777777" w:rsidR="008E043D" w:rsidRPr="00302B84" w:rsidRDefault="008E043D" w:rsidP="008E043D">
            <w:pPr>
              <w:spacing w:after="0" w:line="240" w:lineRule="auto"/>
              <w:jc w:val="center"/>
              <w:rPr>
                <w:rFonts w:ascii="Arial" w:eastAsia="Times New Roman" w:hAnsi="Arial" w:cs="Arial"/>
                <w:sz w:val="20"/>
                <w:szCs w:val="20"/>
              </w:rPr>
            </w:pPr>
          </w:p>
        </w:tc>
        <w:tc>
          <w:tcPr>
            <w:tcW w:w="1137" w:type="dxa"/>
            <w:shd w:val="clear" w:color="auto" w:fill="auto"/>
            <w:noWrap/>
            <w:vAlign w:val="bottom"/>
            <w:hideMark/>
          </w:tcPr>
          <w:p w14:paraId="35529B98" w14:textId="77777777" w:rsidR="008E043D" w:rsidRPr="00302B84" w:rsidRDefault="008E043D" w:rsidP="008E043D">
            <w:pPr>
              <w:spacing w:after="0" w:line="240" w:lineRule="auto"/>
              <w:jc w:val="center"/>
              <w:rPr>
                <w:rFonts w:ascii="Arial" w:eastAsia="Times New Roman" w:hAnsi="Arial" w:cs="Arial"/>
                <w:sz w:val="20"/>
                <w:szCs w:val="20"/>
              </w:rPr>
            </w:pPr>
          </w:p>
        </w:tc>
        <w:tc>
          <w:tcPr>
            <w:tcW w:w="1050" w:type="dxa"/>
            <w:shd w:val="clear" w:color="auto" w:fill="auto"/>
            <w:noWrap/>
            <w:vAlign w:val="bottom"/>
            <w:hideMark/>
          </w:tcPr>
          <w:p w14:paraId="3D27EA10" w14:textId="77777777" w:rsidR="008E043D" w:rsidRPr="00302B84" w:rsidRDefault="008E043D" w:rsidP="008E043D">
            <w:pPr>
              <w:spacing w:after="0" w:line="240" w:lineRule="auto"/>
              <w:jc w:val="center"/>
              <w:rPr>
                <w:rFonts w:ascii="Arial" w:eastAsia="Times New Roman" w:hAnsi="Arial" w:cs="Arial"/>
                <w:sz w:val="20"/>
                <w:szCs w:val="20"/>
              </w:rPr>
            </w:pPr>
          </w:p>
        </w:tc>
        <w:tc>
          <w:tcPr>
            <w:tcW w:w="794" w:type="dxa"/>
            <w:shd w:val="clear" w:color="auto" w:fill="auto"/>
            <w:noWrap/>
            <w:vAlign w:val="bottom"/>
            <w:hideMark/>
          </w:tcPr>
          <w:p w14:paraId="3F4B4B78" w14:textId="77777777" w:rsidR="008E043D" w:rsidRPr="00302B84" w:rsidRDefault="008E043D" w:rsidP="008E043D">
            <w:pPr>
              <w:spacing w:after="0" w:line="240" w:lineRule="auto"/>
              <w:jc w:val="center"/>
              <w:rPr>
                <w:rFonts w:ascii="Arial" w:eastAsia="Times New Roman" w:hAnsi="Arial" w:cs="Arial"/>
                <w:sz w:val="20"/>
                <w:szCs w:val="20"/>
              </w:rPr>
            </w:pPr>
          </w:p>
        </w:tc>
        <w:tc>
          <w:tcPr>
            <w:tcW w:w="750" w:type="dxa"/>
            <w:shd w:val="clear" w:color="auto" w:fill="auto"/>
            <w:noWrap/>
            <w:vAlign w:val="bottom"/>
            <w:hideMark/>
          </w:tcPr>
          <w:p w14:paraId="469B0466" w14:textId="77777777" w:rsidR="008E043D" w:rsidRPr="00302B84" w:rsidRDefault="008E043D" w:rsidP="008E043D">
            <w:pPr>
              <w:spacing w:after="0" w:line="240" w:lineRule="auto"/>
              <w:jc w:val="center"/>
              <w:rPr>
                <w:rFonts w:ascii="Arial" w:eastAsia="Times New Roman" w:hAnsi="Arial" w:cs="Arial"/>
                <w:sz w:val="20"/>
                <w:szCs w:val="20"/>
              </w:rPr>
            </w:pPr>
          </w:p>
        </w:tc>
        <w:tc>
          <w:tcPr>
            <w:tcW w:w="988" w:type="dxa"/>
            <w:shd w:val="clear" w:color="auto" w:fill="auto"/>
            <w:noWrap/>
            <w:vAlign w:val="bottom"/>
            <w:hideMark/>
          </w:tcPr>
          <w:p w14:paraId="440493AC" w14:textId="77777777" w:rsidR="008E043D" w:rsidRPr="008E043D" w:rsidRDefault="008E043D" w:rsidP="008E043D">
            <w:pPr>
              <w:spacing w:after="0" w:line="240" w:lineRule="auto"/>
              <w:jc w:val="center"/>
              <w:rPr>
                <w:rFonts w:ascii="Times New Roman" w:eastAsia="Times New Roman" w:hAnsi="Times New Roman" w:cs="Times New Roman"/>
                <w:sz w:val="20"/>
                <w:szCs w:val="20"/>
              </w:rPr>
            </w:pPr>
          </w:p>
        </w:tc>
        <w:tc>
          <w:tcPr>
            <w:tcW w:w="749" w:type="dxa"/>
            <w:shd w:val="clear" w:color="auto" w:fill="auto"/>
            <w:noWrap/>
            <w:vAlign w:val="bottom"/>
            <w:hideMark/>
          </w:tcPr>
          <w:p w14:paraId="7EA2066C" w14:textId="77777777" w:rsidR="008E043D" w:rsidRPr="008E043D" w:rsidRDefault="008E043D" w:rsidP="008E043D">
            <w:pPr>
              <w:spacing w:after="0" w:line="240" w:lineRule="auto"/>
              <w:jc w:val="center"/>
              <w:rPr>
                <w:rFonts w:ascii="Times New Roman" w:eastAsia="Times New Roman" w:hAnsi="Times New Roman" w:cs="Times New Roman"/>
                <w:sz w:val="20"/>
                <w:szCs w:val="20"/>
              </w:rPr>
            </w:pPr>
          </w:p>
        </w:tc>
      </w:tr>
      <w:tr w:rsidR="008E043D" w:rsidRPr="008E043D" w14:paraId="7BE13DC7" w14:textId="77777777" w:rsidTr="0026405B">
        <w:trPr>
          <w:trHeight w:val="525"/>
        </w:trPr>
        <w:tc>
          <w:tcPr>
            <w:tcW w:w="990" w:type="dxa"/>
            <w:shd w:val="clear" w:color="auto" w:fill="auto"/>
            <w:vAlign w:val="bottom"/>
            <w:hideMark/>
          </w:tcPr>
          <w:p w14:paraId="4D149D81"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Weight loss</w:t>
            </w:r>
          </w:p>
        </w:tc>
        <w:tc>
          <w:tcPr>
            <w:tcW w:w="606" w:type="dxa"/>
            <w:shd w:val="clear" w:color="auto" w:fill="auto"/>
            <w:vAlign w:val="bottom"/>
            <w:hideMark/>
          </w:tcPr>
          <w:p w14:paraId="2AEB3588"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All</w:t>
            </w:r>
          </w:p>
        </w:tc>
        <w:tc>
          <w:tcPr>
            <w:tcW w:w="961" w:type="dxa"/>
            <w:shd w:val="clear" w:color="auto" w:fill="auto"/>
            <w:noWrap/>
            <w:vAlign w:val="bottom"/>
            <w:hideMark/>
          </w:tcPr>
          <w:p w14:paraId="1C7169D1"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BMI&lt;50</w:t>
            </w:r>
          </w:p>
        </w:tc>
        <w:tc>
          <w:tcPr>
            <w:tcW w:w="1039" w:type="dxa"/>
            <w:shd w:val="clear" w:color="auto" w:fill="auto"/>
            <w:noWrap/>
            <w:vAlign w:val="bottom"/>
            <w:hideMark/>
          </w:tcPr>
          <w:p w14:paraId="45F52E5F"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BMI&gt;=50</w:t>
            </w:r>
          </w:p>
        </w:tc>
        <w:tc>
          <w:tcPr>
            <w:tcW w:w="1137" w:type="dxa"/>
            <w:shd w:val="clear" w:color="auto" w:fill="auto"/>
            <w:noWrap/>
            <w:vAlign w:val="bottom"/>
            <w:hideMark/>
          </w:tcPr>
          <w:p w14:paraId="6A00DC3C"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Age&lt;65</w:t>
            </w:r>
          </w:p>
        </w:tc>
        <w:tc>
          <w:tcPr>
            <w:tcW w:w="1050" w:type="dxa"/>
            <w:shd w:val="clear" w:color="auto" w:fill="auto"/>
            <w:noWrap/>
            <w:vAlign w:val="bottom"/>
            <w:hideMark/>
          </w:tcPr>
          <w:p w14:paraId="3E0DCEF3"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Age&gt;=65</w:t>
            </w:r>
          </w:p>
        </w:tc>
        <w:tc>
          <w:tcPr>
            <w:tcW w:w="794" w:type="dxa"/>
            <w:shd w:val="clear" w:color="auto" w:fill="auto"/>
            <w:noWrap/>
            <w:vAlign w:val="bottom"/>
            <w:hideMark/>
          </w:tcPr>
          <w:p w14:paraId="32C9225C"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RYGB</w:t>
            </w:r>
          </w:p>
        </w:tc>
        <w:tc>
          <w:tcPr>
            <w:tcW w:w="750" w:type="dxa"/>
            <w:shd w:val="clear" w:color="auto" w:fill="auto"/>
            <w:noWrap/>
            <w:vAlign w:val="bottom"/>
            <w:hideMark/>
          </w:tcPr>
          <w:p w14:paraId="6937F458" w14:textId="77777777" w:rsidR="008E043D" w:rsidRPr="00302B84" w:rsidRDefault="008E043D" w:rsidP="008E043D">
            <w:pPr>
              <w:spacing w:after="0" w:line="240" w:lineRule="auto"/>
              <w:jc w:val="center"/>
              <w:rPr>
                <w:rFonts w:ascii="Arial" w:eastAsia="Times New Roman" w:hAnsi="Arial" w:cs="Arial"/>
                <w:b/>
                <w:bCs/>
                <w:color w:val="000000"/>
                <w:sz w:val="20"/>
                <w:szCs w:val="20"/>
              </w:rPr>
            </w:pPr>
            <w:r w:rsidRPr="00302B84">
              <w:rPr>
                <w:rFonts w:ascii="Arial" w:eastAsia="Times New Roman" w:hAnsi="Arial" w:cs="Arial"/>
                <w:b/>
                <w:bCs/>
                <w:color w:val="000000"/>
                <w:sz w:val="20"/>
                <w:szCs w:val="20"/>
              </w:rPr>
              <w:t>SG</w:t>
            </w:r>
          </w:p>
        </w:tc>
        <w:tc>
          <w:tcPr>
            <w:tcW w:w="988" w:type="dxa"/>
            <w:shd w:val="clear" w:color="auto" w:fill="auto"/>
            <w:noWrap/>
            <w:vAlign w:val="bottom"/>
            <w:hideMark/>
          </w:tcPr>
          <w:p w14:paraId="22A5B467" w14:textId="77777777" w:rsidR="008E043D" w:rsidRPr="008E043D" w:rsidRDefault="008E043D" w:rsidP="008E043D">
            <w:pPr>
              <w:spacing w:after="0" w:line="240" w:lineRule="auto"/>
              <w:jc w:val="center"/>
              <w:rPr>
                <w:rFonts w:ascii="Calibri" w:eastAsia="Times New Roman" w:hAnsi="Calibri" w:cs="Calibri"/>
                <w:b/>
                <w:bCs/>
                <w:color w:val="000000"/>
              </w:rPr>
            </w:pPr>
          </w:p>
        </w:tc>
        <w:tc>
          <w:tcPr>
            <w:tcW w:w="749" w:type="dxa"/>
            <w:shd w:val="clear" w:color="auto" w:fill="auto"/>
            <w:noWrap/>
            <w:vAlign w:val="bottom"/>
            <w:hideMark/>
          </w:tcPr>
          <w:p w14:paraId="4A06A47D" w14:textId="77777777" w:rsidR="008E043D" w:rsidRPr="008E043D" w:rsidRDefault="008E043D" w:rsidP="008E043D">
            <w:pPr>
              <w:spacing w:after="0" w:line="240" w:lineRule="auto"/>
              <w:jc w:val="center"/>
              <w:rPr>
                <w:rFonts w:ascii="Times New Roman" w:eastAsia="Times New Roman" w:hAnsi="Times New Roman" w:cs="Times New Roman"/>
                <w:sz w:val="20"/>
                <w:szCs w:val="20"/>
              </w:rPr>
            </w:pPr>
          </w:p>
        </w:tc>
      </w:tr>
      <w:tr w:rsidR="008E043D" w:rsidRPr="008E043D" w14:paraId="1E271289" w14:textId="77777777" w:rsidTr="0026405B">
        <w:trPr>
          <w:trHeight w:val="300"/>
        </w:trPr>
        <w:tc>
          <w:tcPr>
            <w:tcW w:w="990" w:type="dxa"/>
            <w:shd w:val="clear" w:color="auto" w:fill="auto"/>
            <w:noWrap/>
            <w:vAlign w:val="bottom"/>
            <w:hideMark/>
          </w:tcPr>
          <w:p w14:paraId="0B0BEA7D"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0-5%</w:t>
            </w:r>
          </w:p>
        </w:tc>
        <w:tc>
          <w:tcPr>
            <w:tcW w:w="606" w:type="dxa"/>
            <w:shd w:val="clear" w:color="auto" w:fill="auto"/>
            <w:noWrap/>
            <w:vAlign w:val="bottom"/>
            <w:hideMark/>
          </w:tcPr>
          <w:p w14:paraId="632F862A"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0.05</w:t>
            </w:r>
          </w:p>
        </w:tc>
        <w:tc>
          <w:tcPr>
            <w:tcW w:w="961" w:type="dxa"/>
            <w:shd w:val="clear" w:color="auto" w:fill="auto"/>
            <w:noWrap/>
            <w:vAlign w:val="bottom"/>
            <w:hideMark/>
          </w:tcPr>
          <w:p w14:paraId="313AE169"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0.03</w:t>
            </w:r>
          </w:p>
        </w:tc>
        <w:tc>
          <w:tcPr>
            <w:tcW w:w="1039" w:type="dxa"/>
            <w:shd w:val="clear" w:color="auto" w:fill="auto"/>
            <w:noWrap/>
            <w:vAlign w:val="bottom"/>
            <w:hideMark/>
          </w:tcPr>
          <w:p w14:paraId="3AE63F0E"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0.06</w:t>
            </w:r>
          </w:p>
        </w:tc>
        <w:tc>
          <w:tcPr>
            <w:tcW w:w="1137" w:type="dxa"/>
            <w:shd w:val="clear" w:color="auto" w:fill="auto"/>
            <w:noWrap/>
            <w:vAlign w:val="bottom"/>
            <w:hideMark/>
          </w:tcPr>
          <w:p w14:paraId="2E0DC19F"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0.05</w:t>
            </w:r>
          </w:p>
        </w:tc>
        <w:tc>
          <w:tcPr>
            <w:tcW w:w="1050" w:type="dxa"/>
            <w:shd w:val="clear" w:color="auto" w:fill="auto"/>
            <w:noWrap/>
            <w:vAlign w:val="bottom"/>
            <w:hideMark/>
          </w:tcPr>
          <w:p w14:paraId="60C9B9D1"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0.05</w:t>
            </w:r>
          </w:p>
        </w:tc>
        <w:tc>
          <w:tcPr>
            <w:tcW w:w="794" w:type="dxa"/>
            <w:shd w:val="clear" w:color="auto" w:fill="auto"/>
            <w:noWrap/>
            <w:vAlign w:val="bottom"/>
            <w:hideMark/>
          </w:tcPr>
          <w:p w14:paraId="35EA6496"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0.05</w:t>
            </w:r>
          </w:p>
        </w:tc>
        <w:tc>
          <w:tcPr>
            <w:tcW w:w="750" w:type="dxa"/>
            <w:shd w:val="clear" w:color="auto" w:fill="auto"/>
            <w:noWrap/>
            <w:vAlign w:val="bottom"/>
            <w:hideMark/>
          </w:tcPr>
          <w:p w14:paraId="7C21AA47"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0.05</w:t>
            </w:r>
          </w:p>
        </w:tc>
        <w:tc>
          <w:tcPr>
            <w:tcW w:w="988" w:type="dxa"/>
            <w:shd w:val="clear" w:color="auto" w:fill="auto"/>
            <w:noWrap/>
            <w:vAlign w:val="bottom"/>
            <w:hideMark/>
          </w:tcPr>
          <w:p w14:paraId="328E5330" w14:textId="77777777" w:rsidR="008E043D" w:rsidRPr="008E043D" w:rsidRDefault="008E043D" w:rsidP="008E043D">
            <w:pPr>
              <w:spacing w:after="0" w:line="240" w:lineRule="auto"/>
              <w:jc w:val="center"/>
              <w:rPr>
                <w:rFonts w:ascii="Calibri" w:eastAsia="Times New Roman" w:hAnsi="Calibri" w:cs="Calibri"/>
                <w:color w:val="000000"/>
              </w:rPr>
            </w:pPr>
          </w:p>
        </w:tc>
        <w:tc>
          <w:tcPr>
            <w:tcW w:w="749" w:type="dxa"/>
            <w:shd w:val="clear" w:color="auto" w:fill="auto"/>
            <w:noWrap/>
            <w:vAlign w:val="bottom"/>
            <w:hideMark/>
          </w:tcPr>
          <w:p w14:paraId="191A39C6" w14:textId="77777777" w:rsidR="008E043D" w:rsidRPr="008E043D" w:rsidRDefault="008E043D" w:rsidP="008E043D">
            <w:pPr>
              <w:spacing w:after="0" w:line="240" w:lineRule="auto"/>
              <w:jc w:val="center"/>
              <w:rPr>
                <w:rFonts w:ascii="Times New Roman" w:eastAsia="Times New Roman" w:hAnsi="Times New Roman" w:cs="Times New Roman"/>
                <w:sz w:val="20"/>
                <w:szCs w:val="20"/>
              </w:rPr>
            </w:pPr>
          </w:p>
        </w:tc>
      </w:tr>
      <w:tr w:rsidR="008E043D" w:rsidRPr="008E043D" w14:paraId="5F0ACD73" w14:textId="77777777" w:rsidTr="0026405B">
        <w:trPr>
          <w:trHeight w:val="300"/>
        </w:trPr>
        <w:tc>
          <w:tcPr>
            <w:tcW w:w="990" w:type="dxa"/>
            <w:shd w:val="clear" w:color="auto" w:fill="auto"/>
            <w:noWrap/>
            <w:vAlign w:val="bottom"/>
            <w:hideMark/>
          </w:tcPr>
          <w:p w14:paraId="5BFECEAF"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5-10%</w:t>
            </w:r>
          </w:p>
        </w:tc>
        <w:tc>
          <w:tcPr>
            <w:tcW w:w="606" w:type="dxa"/>
            <w:shd w:val="clear" w:color="auto" w:fill="auto"/>
            <w:noWrap/>
            <w:vAlign w:val="bottom"/>
            <w:hideMark/>
          </w:tcPr>
          <w:p w14:paraId="594C0343"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0.09</w:t>
            </w:r>
          </w:p>
        </w:tc>
        <w:tc>
          <w:tcPr>
            <w:tcW w:w="961" w:type="dxa"/>
            <w:shd w:val="clear" w:color="auto" w:fill="auto"/>
            <w:noWrap/>
            <w:vAlign w:val="bottom"/>
            <w:hideMark/>
          </w:tcPr>
          <w:p w14:paraId="54260C90"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0.08</w:t>
            </w:r>
          </w:p>
        </w:tc>
        <w:tc>
          <w:tcPr>
            <w:tcW w:w="1039" w:type="dxa"/>
            <w:shd w:val="clear" w:color="auto" w:fill="auto"/>
            <w:noWrap/>
            <w:vAlign w:val="bottom"/>
            <w:hideMark/>
          </w:tcPr>
          <w:p w14:paraId="52BCC761"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0.10</w:t>
            </w:r>
          </w:p>
        </w:tc>
        <w:tc>
          <w:tcPr>
            <w:tcW w:w="1137" w:type="dxa"/>
            <w:shd w:val="clear" w:color="auto" w:fill="auto"/>
            <w:noWrap/>
            <w:vAlign w:val="bottom"/>
            <w:hideMark/>
          </w:tcPr>
          <w:p w14:paraId="2F39B0A0"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0.09</w:t>
            </w:r>
          </w:p>
        </w:tc>
        <w:tc>
          <w:tcPr>
            <w:tcW w:w="1050" w:type="dxa"/>
            <w:shd w:val="clear" w:color="auto" w:fill="auto"/>
            <w:noWrap/>
            <w:vAlign w:val="bottom"/>
            <w:hideMark/>
          </w:tcPr>
          <w:p w14:paraId="5339C28A"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0.09</w:t>
            </w:r>
          </w:p>
        </w:tc>
        <w:tc>
          <w:tcPr>
            <w:tcW w:w="794" w:type="dxa"/>
            <w:shd w:val="clear" w:color="auto" w:fill="auto"/>
            <w:noWrap/>
            <w:vAlign w:val="bottom"/>
            <w:hideMark/>
          </w:tcPr>
          <w:p w14:paraId="69E90EDB"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0.06</w:t>
            </w:r>
          </w:p>
        </w:tc>
        <w:tc>
          <w:tcPr>
            <w:tcW w:w="750" w:type="dxa"/>
            <w:shd w:val="clear" w:color="auto" w:fill="auto"/>
            <w:noWrap/>
            <w:vAlign w:val="bottom"/>
            <w:hideMark/>
          </w:tcPr>
          <w:p w14:paraId="2CEBE8E3"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0.11</w:t>
            </w:r>
          </w:p>
        </w:tc>
        <w:tc>
          <w:tcPr>
            <w:tcW w:w="988" w:type="dxa"/>
            <w:shd w:val="clear" w:color="auto" w:fill="auto"/>
            <w:noWrap/>
            <w:vAlign w:val="bottom"/>
            <w:hideMark/>
          </w:tcPr>
          <w:p w14:paraId="71521392" w14:textId="77777777" w:rsidR="008E043D" w:rsidRPr="008E043D" w:rsidRDefault="008E043D" w:rsidP="008E043D">
            <w:pPr>
              <w:spacing w:after="0" w:line="240" w:lineRule="auto"/>
              <w:jc w:val="center"/>
              <w:rPr>
                <w:rFonts w:ascii="Calibri" w:eastAsia="Times New Roman" w:hAnsi="Calibri" w:cs="Calibri"/>
                <w:color w:val="000000"/>
              </w:rPr>
            </w:pPr>
          </w:p>
        </w:tc>
        <w:tc>
          <w:tcPr>
            <w:tcW w:w="749" w:type="dxa"/>
            <w:shd w:val="clear" w:color="auto" w:fill="auto"/>
            <w:noWrap/>
            <w:vAlign w:val="bottom"/>
            <w:hideMark/>
          </w:tcPr>
          <w:p w14:paraId="74C5B056" w14:textId="77777777" w:rsidR="008E043D" w:rsidRPr="008E043D" w:rsidRDefault="008E043D" w:rsidP="008E043D">
            <w:pPr>
              <w:spacing w:after="0" w:line="240" w:lineRule="auto"/>
              <w:jc w:val="center"/>
              <w:rPr>
                <w:rFonts w:ascii="Times New Roman" w:eastAsia="Times New Roman" w:hAnsi="Times New Roman" w:cs="Times New Roman"/>
                <w:sz w:val="20"/>
                <w:szCs w:val="20"/>
              </w:rPr>
            </w:pPr>
          </w:p>
        </w:tc>
      </w:tr>
      <w:tr w:rsidR="008E043D" w:rsidRPr="008E043D" w14:paraId="3C872197" w14:textId="77777777" w:rsidTr="0026405B">
        <w:trPr>
          <w:trHeight w:val="300"/>
        </w:trPr>
        <w:tc>
          <w:tcPr>
            <w:tcW w:w="990" w:type="dxa"/>
            <w:shd w:val="clear" w:color="auto" w:fill="auto"/>
            <w:noWrap/>
            <w:vAlign w:val="bottom"/>
            <w:hideMark/>
          </w:tcPr>
          <w:p w14:paraId="3C789882"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10-15%</w:t>
            </w:r>
          </w:p>
        </w:tc>
        <w:tc>
          <w:tcPr>
            <w:tcW w:w="606" w:type="dxa"/>
            <w:shd w:val="clear" w:color="auto" w:fill="auto"/>
            <w:noWrap/>
            <w:vAlign w:val="bottom"/>
            <w:hideMark/>
          </w:tcPr>
          <w:p w14:paraId="797F83FF"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0.21</w:t>
            </w:r>
          </w:p>
        </w:tc>
        <w:tc>
          <w:tcPr>
            <w:tcW w:w="961" w:type="dxa"/>
            <w:shd w:val="clear" w:color="auto" w:fill="auto"/>
            <w:noWrap/>
            <w:vAlign w:val="bottom"/>
            <w:hideMark/>
          </w:tcPr>
          <w:p w14:paraId="2BF7C67F"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0.19</w:t>
            </w:r>
          </w:p>
        </w:tc>
        <w:tc>
          <w:tcPr>
            <w:tcW w:w="1039" w:type="dxa"/>
            <w:shd w:val="clear" w:color="auto" w:fill="auto"/>
            <w:noWrap/>
            <w:vAlign w:val="bottom"/>
            <w:hideMark/>
          </w:tcPr>
          <w:p w14:paraId="5B86CF86"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0.21</w:t>
            </w:r>
          </w:p>
        </w:tc>
        <w:tc>
          <w:tcPr>
            <w:tcW w:w="1137" w:type="dxa"/>
            <w:shd w:val="clear" w:color="auto" w:fill="auto"/>
            <w:noWrap/>
            <w:vAlign w:val="bottom"/>
            <w:hideMark/>
          </w:tcPr>
          <w:p w14:paraId="5DD43C44"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0.20</w:t>
            </w:r>
          </w:p>
        </w:tc>
        <w:tc>
          <w:tcPr>
            <w:tcW w:w="1050" w:type="dxa"/>
            <w:shd w:val="clear" w:color="auto" w:fill="auto"/>
            <w:noWrap/>
            <w:vAlign w:val="bottom"/>
            <w:hideMark/>
          </w:tcPr>
          <w:p w14:paraId="3218EED2"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0.25</w:t>
            </w:r>
          </w:p>
        </w:tc>
        <w:tc>
          <w:tcPr>
            <w:tcW w:w="794" w:type="dxa"/>
            <w:shd w:val="clear" w:color="auto" w:fill="auto"/>
            <w:noWrap/>
            <w:vAlign w:val="bottom"/>
            <w:hideMark/>
          </w:tcPr>
          <w:p w14:paraId="018EBA45"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0.15</w:t>
            </w:r>
          </w:p>
        </w:tc>
        <w:tc>
          <w:tcPr>
            <w:tcW w:w="750" w:type="dxa"/>
            <w:shd w:val="clear" w:color="auto" w:fill="auto"/>
            <w:noWrap/>
            <w:vAlign w:val="bottom"/>
            <w:hideMark/>
          </w:tcPr>
          <w:p w14:paraId="5B8CA396"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0.26</w:t>
            </w:r>
          </w:p>
        </w:tc>
        <w:tc>
          <w:tcPr>
            <w:tcW w:w="988" w:type="dxa"/>
            <w:shd w:val="clear" w:color="auto" w:fill="auto"/>
            <w:noWrap/>
            <w:vAlign w:val="bottom"/>
            <w:hideMark/>
          </w:tcPr>
          <w:p w14:paraId="3D6C8603" w14:textId="77777777" w:rsidR="008E043D" w:rsidRPr="008E043D" w:rsidRDefault="008E043D" w:rsidP="008E043D">
            <w:pPr>
              <w:spacing w:after="0" w:line="240" w:lineRule="auto"/>
              <w:jc w:val="center"/>
              <w:rPr>
                <w:rFonts w:ascii="Calibri" w:eastAsia="Times New Roman" w:hAnsi="Calibri" w:cs="Calibri"/>
                <w:color w:val="000000"/>
              </w:rPr>
            </w:pPr>
          </w:p>
        </w:tc>
        <w:tc>
          <w:tcPr>
            <w:tcW w:w="749" w:type="dxa"/>
            <w:shd w:val="clear" w:color="auto" w:fill="auto"/>
            <w:noWrap/>
            <w:vAlign w:val="bottom"/>
            <w:hideMark/>
          </w:tcPr>
          <w:p w14:paraId="075E0233" w14:textId="77777777" w:rsidR="008E043D" w:rsidRPr="008E043D" w:rsidRDefault="008E043D" w:rsidP="008E043D">
            <w:pPr>
              <w:spacing w:after="0" w:line="240" w:lineRule="auto"/>
              <w:jc w:val="center"/>
              <w:rPr>
                <w:rFonts w:ascii="Times New Roman" w:eastAsia="Times New Roman" w:hAnsi="Times New Roman" w:cs="Times New Roman"/>
                <w:sz w:val="20"/>
                <w:szCs w:val="20"/>
              </w:rPr>
            </w:pPr>
          </w:p>
        </w:tc>
      </w:tr>
      <w:tr w:rsidR="008E043D" w:rsidRPr="008E043D" w14:paraId="32EE827D" w14:textId="77777777" w:rsidTr="0026405B">
        <w:trPr>
          <w:trHeight w:val="300"/>
        </w:trPr>
        <w:tc>
          <w:tcPr>
            <w:tcW w:w="990" w:type="dxa"/>
            <w:shd w:val="clear" w:color="auto" w:fill="auto"/>
            <w:noWrap/>
            <w:vAlign w:val="bottom"/>
            <w:hideMark/>
          </w:tcPr>
          <w:p w14:paraId="27206723"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15-20%</w:t>
            </w:r>
          </w:p>
        </w:tc>
        <w:tc>
          <w:tcPr>
            <w:tcW w:w="606" w:type="dxa"/>
            <w:shd w:val="clear" w:color="auto" w:fill="auto"/>
            <w:noWrap/>
            <w:vAlign w:val="bottom"/>
            <w:hideMark/>
          </w:tcPr>
          <w:p w14:paraId="212175EB"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0.32</w:t>
            </w:r>
          </w:p>
        </w:tc>
        <w:tc>
          <w:tcPr>
            <w:tcW w:w="961" w:type="dxa"/>
            <w:shd w:val="clear" w:color="auto" w:fill="auto"/>
            <w:noWrap/>
            <w:vAlign w:val="bottom"/>
            <w:hideMark/>
          </w:tcPr>
          <w:p w14:paraId="1BB587CC"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0.31</w:t>
            </w:r>
          </w:p>
        </w:tc>
        <w:tc>
          <w:tcPr>
            <w:tcW w:w="1039" w:type="dxa"/>
            <w:shd w:val="clear" w:color="auto" w:fill="auto"/>
            <w:noWrap/>
            <w:vAlign w:val="bottom"/>
            <w:hideMark/>
          </w:tcPr>
          <w:p w14:paraId="1E276545"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0.32</w:t>
            </w:r>
          </w:p>
        </w:tc>
        <w:tc>
          <w:tcPr>
            <w:tcW w:w="1137" w:type="dxa"/>
            <w:shd w:val="clear" w:color="auto" w:fill="auto"/>
            <w:noWrap/>
            <w:vAlign w:val="bottom"/>
            <w:hideMark/>
          </w:tcPr>
          <w:p w14:paraId="6864B878"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0.32</w:t>
            </w:r>
          </w:p>
        </w:tc>
        <w:tc>
          <w:tcPr>
            <w:tcW w:w="1050" w:type="dxa"/>
            <w:shd w:val="clear" w:color="auto" w:fill="auto"/>
            <w:noWrap/>
            <w:vAlign w:val="bottom"/>
            <w:hideMark/>
          </w:tcPr>
          <w:p w14:paraId="7B05BA78"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0.30</w:t>
            </w:r>
          </w:p>
        </w:tc>
        <w:tc>
          <w:tcPr>
            <w:tcW w:w="794" w:type="dxa"/>
            <w:shd w:val="clear" w:color="auto" w:fill="auto"/>
            <w:noWrap/>
            <w:vAlign w:val="bottom"/>
            <w:hideMark/>
          </w:tcPr>
          <w:p w14:paraId="25CF767F"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0.27</w:t>
            </w:r>
          </w:p>
        </w:tc>
        <w:tc>
          <w:tcPr>
            <w:tcW w:w="750" w:type="dxa"/>
            <w:shd w:val="clear" w:color="auto" w:fill="auto"/>
            <w:noWrap/>
            <w:vAlign w:val="bottom"/>
            <w:hideMark/>
          </w:tcPr>
          <w:p w14:paraId="2301A501"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0.38</w:t>
            </w:r>
          </w:p>
        </w:tc>
        <w:tc>
          <w:tcPr>
            <w:tcW w:w="988" w:type="dxa"/>
            <w:shd w:val="clear" w:color="auto" w:fill="auto"/>
            <w:noWrap/>
            <w:vAlign w:val="bottom"/>
            <w:hideMark/>
          </w:tcPr>
          <w:p w14:paraId="1123DA0D" w14:textId="77777777" w:rsidR="008E043D" w:rsidRPr="008E043D" w:rsidRDefault="008E043D" w:rsidP="008E043D">
            <w:pPr>
              <w:spacing w:after="0" w:line="240" w:lineRule="auto"/>
              <w:jc w:val="center"/>
              <w:rPr>
                <w:rFonts w:ascii="Calibri" w:eastAsia="Times New Roman" w:hAnsi="Calibri" w:cs="Calibri"/>
                <w:color w:val="000000"/>
              </w:rPr>
            </w:pPr>
          </w:p>
        </w:tc>
        <w:tc>
          <w:tcPr>
            <w:tcW w:w="749" w:type="dxa"/>
            <w:shd w:val="clear" w:color="auto" w:fill="auto"/>
            <w:noWrap/>
            <w:vAlign w:val="bottom"/>
            <w:hideMark/>
          </w:tcPr>
          <w:p w14:paraId="2770F187" w14:textId="77777777" w:rsidR="008E043D" w:rsidRPr="008E043D" w:rsidRDefault="008E043D" w:rsidP="008E043D">
            <w:pPr>
              <w:spacing w:after="0" w:line="240" w:lineRule="auto"/>
              <w:jc w:val="center"/>
              <w:rPr>
                <w:rFonts w:ascii="Times New Roman" w:eastAsia="Times New Roman" w:hAnsi="Times New Roman" w:cs="Times New Roman"/>
                <w:sz w:val="20"/>
                <w:szCs w:val="20"/>
              </w:rPr>
            </w:pPr>
          </w:p>
        </w:tc>
      </w:tr>
      <w:tr w:rsidR="008E043D" w:rsidRPr="008E043D" w14:paraId="48296679" w14:textId="77777777" w:rsidTr="0026405B">
        <w:trPr>
          <w:trHeight w:val="300"/>
        </w:trPr>
        <w:tc>
          <w:tcPr>
            <w:tcW w:w="990" w:type="dxa"/>
            <w:shd w:val="clear" w:color="auto" w:fill="auto"/>
            <w:noWrap/>
            <w:vAlign w:val="bottom"/>
            <w:hideMark/>
          </w:tcPr>
          <w:p w14:paraId="0310C2F7"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&gt; 20%</w:t>
            </w:r>
          </w:p>
        </w:tc>
        <w:tc>
          <w:tcPr>
            <w:tcW w:w="606" w:type="dxa"/>
            <w:shd w:val="clear" w:color="auto" w:fill="auto"/>
            <w:noWrap/>
            <w:vAlign w:val="bottom"/>
            <w:hideMark/>
          </w:tcPr>
          <w:p w14:paraId="35143122"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0.39</w:t>
            </w:r>
          </w:p>
        </w:tc>
        <w:tc>
          <w:tcPr>
            <w:tcW w:w="961" w:type="dxa"/>
            <w:shd w:val="clear" w:color="auto" w:fill="auto"/>
            <w:noWrap/>
            <w:vAlign w:val="bottom"/>
            <w:hideMark/>
          </w:tcPr>
          <w:p w14:paraId="62ADB00E"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0.42</w:t>
            </w:r>
          </w:p>
        </w:tc>
        <w:tc>
          <w:tcPr>
            <w:tcW w:w="1039" w:type="dxa"/>
            <w:shd w:val="clear" w:color="auto" w:fill="auto"/>
            <w:noWrap/>
            <w:vAlign w:val="bottom"/>
            <w:hideMark/>
          </w:tcPr>
          <w:p w14:paraId="3C47FD9A"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0.39</w:t>
            </w:r>
          </w:p>
        </w:tc>
        <w:tc>
          <w:tcPr>
            <w:tcW w:w="1137" w:type="dxa"/>
            <w:shd w:val="clear" w:color="auto" w:fill="auto"/>
            <w:noWrap/>
            <w:vAlign w:val="bottom"/>
            <w:hideMark/>
          </w:tcPr>
          <w:p w14:paraId="30D8C1BB"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0.40</w:t>
            </w:r>
          </w:p>
        </w:tc>
        <w:tc>
          <w:tcPr>
            <w:tcW w:w="1050" w:type="dxa"/>
            <w:shd w:val="clear" w:color="auto" w:fill="auto"/>
            <w:noWrap/>
            <w:vAlign w:val="bottom"/>
            <w:hideMark/>
          </w:tcPr>
          <w:p w14:paraId="068CF309"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0.28</w:t>
            </w:r>
          </w:p>
        </w:tc>
        <w:tc>
          <w:tcPr>
            <w:tcW w:w="794" w:type="dxa"/>
            <w:shd w:val="clear" w:color="auto" w:fill="auto"/>
            <w:noWrap/>
            <w:vAlign w:val="bottom"/>
            <w:hideMark/>
          </w:tcPr>
          <w:p w14:paraId="68545A69"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0.38</w:t>
            </w:r>
          </w:p>
        </w:tc>
        <w:tc>
          <w:tcPr>
            <w:tcW w:w="750" w:type="dxa"/>
            <w:shd w:val="clear" w:color="auto" w:fill="auto"/>
            <w:noWrap/>
            <w:vAlign w:val="bottom"/>
            <w:hideMark/>
          </w:tcPr>
          <w:p w14:paraId="071D6C8D" w14:textId="77777777" w:rsidR="008E043D" w:rsidRPr="00302B84" w:rsidRDefault="008E043D" w:rsidP="008E043D">
            <w:pPr>
              <w:spacing w:after="0" w:line="240" w:lineRule="auto"/>
              <w:jc w:val="center"/>
              <w:rPr>
                <w:rFonts w:ascii="Arial" w:eastAsia="Times New Roman" w:hAnsi="Arial" w:cs="Arial"/>
                <w:color w:val="000000"/>
                <w:sz w:val="20"/>
                <w:szCs w:val="20"/>
              </w:rPr>
            </w:pPr>
            <w:r w:rsidRPr="00302B84">
              <w:rPr>
                <w:rFonts w:ascii="Arial" w:eastAsia="Times New Roman" w:hAnsi="Arial" w:cs="Arial"/>
                <w:color w:val="000000"/>
                <w:sz w:val="20"/>
                <w:szCs w:val="20"/>
              </w:rPr>
              <w:t>0.42</w:t>
            </w:r>
          </w:p>
        </w:tc>
        <w:tc>
          <w:tcPr>
            <w:tcW w:w="988" w:type="dxa"/>
            <w:shd w:val="clear" w:color="auto" w:fill="auto"/>
            <w:noWrap/>
            <w:vAlign w:val="bottom"/>
            <w:hideMark/>
          </w:tcPr>
          <w:p w14:paraId="0EDA211C" w14:textId="77777777" w:rsidR="008E043D" w:rsidRPr="008E043D" w:rsidRDefault="008E043D" w:rsidP="008E043D">
            <w:pPr>
              <w:spacing w:after="0" w:line="240" w:lineRule="auto"/>
              <w:jc w:val="center"/>
              <w:rPr>
                <w:rFonts w:ascii="Calibri" w:eastAsia="Times New Roman" w:hAnsi="Calibri" w:cs="Calibri"/>
                <w:color w:val="000000"/>
              </w:rPr>
            </w:pPr>
          </w:p>
        </w:tc>
        <w:tc>
          <w:tcPr>
            <w:tcW w:w="749" w:type="dxa"/>
            <w:shd w:val="clear" w:color="auto" w:fill="auto"/>
            <w:noWrap/>
            <w:vAlign w:val="bottom"/>
            <w:hideMark/>
          </w:tcPr>
          <w:p w14:paraId="6134F860" w14:textId="77777777" w:rsidR="008E043D" w:rsidRPr="008E043D" w:rsidRDefault="008E043D" w:rsidP="008E043D">
            <w:pPr>
              <w:spacing w:after="0" w:line="240" w:lineRule="auto"/>
              <w:jc w:val="center"/>
              <w:rPr>
                <w:rFonts w:ascii="Times New Roman" w:eastAsia="Times New Roman" w:hAnsi="Times New Roman" w:cs="Times New Roman"/>
                <w:sz w:val="20"/>
                <w:szCs w:val="20"/>
              </w:rPr>
            </w:pPr>
          </w:p>
        </w:tc>
      </w:tr>
    </w:tbl>
    <w:p w14:paraId="7EFA9614" w14:textId="77777777" w:rsidR="002C7BCD" w:rsidRPr="00A6296D" w:rsidRDefault="00C865C5" w:rsidP="002C7BCD">
      <w:pPr>
        <w:pStyle w:val="NoSpacing"/>
        <w:jc w:val="both"/>
        <w:rPr>
          <w:rFonts w:ascii="Arial" w:hAnsi="Arial" w:cs="Arial"/>
          <w:sz w:val="20"/>
          <w:szCs w:val="20"/>
        </w:rPr>
      </w:pPr>
      <w:r w:rsidRPr="00C865C5">
        <w:rPr>
          <w:rFonts w:ascii="Arial" w:hAnsi="Arial" w:cs="Arial"/>
          <w:sz w:val="16"/>
          <w:szCs w:val="16"/>
        </w:rPr>
        <w:t>These are remission rates per person-year across categories of % total weight loss</w:t>
      </w:r>
      <w:r w:rsidR="00302B84">
        <w:rPr>
          <w:rFonts w:ascii="Arial" w:hAnsi="Arial" w:cs="Arial"/>
          <w:sz w:val="16"/>
          <w:szCs w:val="16"/>
        </w:rPr>
        <w:t xml:space="preserve"> (TWL)</w:t>
      </w:r>
      <w:r w:rsidRPr="00C865C5">
        <w:rPr>
          <w:rFonts w:ascii="Arial" w:hAnsi="Arial" w:cs="Arial"/>
          <w:sz w:val="16"/>
          <w:szCs w:val="16"/>
        </w:rPr>
        <w:t xml:space="preserve"> in the analytic sample. </w:t>
      </w:r>
      <w:r>
        <w:rPr>
          <w:rFonts w:ascii="Arial" w:hAnsi="Arial" w:cs="Arial"/>
          <w:sz w:val="16"/>
          <w:szCs w:val="16"/>
        </w:rPr>
        <w:t xml:space="preserve">Each cell corresponds to a </w:t>
      </w:r>
      <w:proofErr w:type="gramStart"/>
      <w:r>
        <w:rPr>
          <w:rFonts w:ascii="Arial" w:hAnsi="Arial" w:cs="Arial"/>
          <w:sz w:val="16"/>
          <w:szCs w:val="16"/>
        </w:rPr>
        <w:t>subgroup individuals</w:t>
      </w:r>
      <w:proofErr w:type="gramEnd"/>
      <w:r>
        <w:rPr>
          <w:rFonts w:ascii="Arial" w:hAnsi="Arial" w:cs="Arial"/>
          <w:sz w:val="16"/>
          <w:szCs w:val="16"/>
        </w:rPr>
        <w:t xml:space="preserve"> with %TWL noted in the row, and another characteristic noted in the column. </w:t>
      </w:r>
      <w:r w:rsidR="002C7BCD">
        <w:rPr>
          <w:rFonts w:ascii="Arial" w:hAnsi="Arial" w:cs="Arial"/>
          <w:sz w:val="16"/>
          <w:szCs w:val="16"/>
        </w:rPr>
        <w:t xml:space="preserve">Abbreviations: </w:t>
      </w:r>
      <w:r w:rsidR="002C7BCD" w:rsidRPr="009700C7">
        <w:rPr>
          <w:rFonts w:ascii="Arial" w:eastAsia="Times New Roman" w:hAnsi="Arial" w:cs="Arial"/>
          <w:color w:val="000000"/>
          <w:sz w:val="16"/>
          <w:szCs w:val="16"/>
        </w:rPr>
        <w:t>BMI (body mass index)</w:t>
      </w:r>
      <w:r w:rsidR="002C7BCD">
        <w:rPr>
          <w:rFonts w:ascii="Arial" w:eastAsia="Times New Roman" w:hAnsi="Arial" w:cs="Arial"/>
          <w:color w:val="000000"/>
          <w:sz w:val="16"/>
          <w:szCs w:val="16"/>
        </w:rPr>
        <w:t xml:space="preserve">, TWL (total weight loss), </w:t>
      </w:r>
      <w:r w:rsidR="002C7BCD" w:rsidRPr="00832888">
        <w:rPr>
          <w:rFonts w:ascii="Arial" w:eastAsia="Times New Roman" w:hAnsi="Arial" w:cs="Arial"/>
          <w:color w:val="000000"/>
          <w:sz w:val="16"/>
          <w:szCs w:val="16"/>
        </w:rPr>
        <w:t xml:space="preserve">T2DM (type 2 diabetes mellitus), RYGB (Roux-en-Y Gastric Bypass), </w:t>
      </w:r>
      <w:proofErr w:type="spellStart"/>
      <w:r w:rsidR="002C7BCD" w:rsidRPr="00832888">
        <w:rPr>
          <w:rFonts w:ascii="Arial" w:eastAsia="Times New Roman" w:hAnsi="Arial" w:cs="Arial"/>
          <w:color w:val="000000"/>
          <w:sz w:val="16"/>
          <w:szCs w:val="16"/>
        </w:rPr>
        <w:t>DiaRem</w:t>
      </w:r>
      <w:proofErr w:type="spellEnd"/>
      <w:r w:rsidR="002C7BCD" w:rsidRPr="00832888">
        <w:rPr>
          <w:rFonts w:ascii="Arial" w:eastAsia="Times New Roman" w:hAnsi="Arial" w:cs="Arial"/>
          <w:color w:val="000000"/>
          <w:sz w:val="16"/>
          <w:szCs w:val="16"/>
        </w:rPr>
        <w:t xml:space="preserve"> (Diabetes Remission Score), </w:t>
      </w:r>
      <w:r w:rsidR="002C7BCD">
        <w:rPr>
          <w:rFonts w:ascii="Arial" w:eastAsia="Times New Roman" w:hAnsi="Arial" w:cs="Arial"/>
          <w:color w:val="000000"/>
          <w:sz w:val="16"/>
          <w:szCs w:val="16"/>
        </w:rPr>
        <w:t>SG (gastric sleeve),</w:t>
      </w:r>
    </w:p>
    <w:p w14:paraId="632E0AD1" w14:textId="1D00C8F6" w:rsidR="005121D1" w:rsidRDefault="005121D1" w:rsidP="00A6296D">
      <w:pPr>
        <w:pStyle w:val="NoSpacing"/>
        <w:rPr>
          <w:rFonts w:ascii="Arial" w:hAnsi="Arial" w:cs="Arial"/>
          <w:sz w:val="16"/>
          <w:szCs w:val="16"/>
        </w:rPr>
      </w:pPr>
    </w:p>
    <w:p w14:paraId="5D31E7D3" w14:textId="77777777" w:rsidR="00D00475" w:rsidRDefault="00D00475" w:rsidP="00044BC7">
      <w:pPr>
        <w:pStyle w:val="PlainText"/>
        <w:rPr>
          <w:rFonts w:ascii="Arial" w:hAnsi="Arial" w:cs="Arial"/>
          <w:b/>
          <w:bCs/>
          <w:sz w:val="20"/>
          <w:szCs w:val="20"/>
        </w:rPr>
      </w:pPr>
    </w:p>
    <w:p w14:paraId="6A8F664E" w14:textId="4FADE852" w:rsidR="00D00475" w:rsidRDefault="00D00475" w:rsidP="00D00475">
      <w:pPr>
        <w:pStyle w:val="NoSpacing"/>
        <w:rPr>
          <w:rFonts w:ascii="Arial" w:hAnsi="Arial" w:cs="Arial"/>
          <w:bCs/>
          <w:sz w:val="20"/>
          <w:szCs w:val="20"/>
        </w:rPr>
      </w:pPr>
      <w:r w:rsidRPr="00BC04B2">
        <w:rPr>
          <w:rFonts w:ascii="Arial" w:hAnsi="Arial" w:cs="Arial"/>
          <w:b/>
          <w:sz w:val="20"/>
          <w:szCs w:val="20"/>
          <w:u w:val="single"/>
        </w:rPr>
        <w:t>Table S</w:t>
      </w:r>
      <w:r>
        <w:rPr>
          <w:rFonts w:ascii="Arial" w:hAnsi="Arial" w:cs="Arial"/>
          <w:b/>
          <w:sz w:val="20"/>
          <w:szCs w:val="20"/>
          <w:u w:val="single"/>
        </w:rPr>
        <w:t>3</w:t>
      </w:r>
      <w:r w:rsidRPr="00BC04B2">
        <w:rPr>
          <w:rFonts w:ascii="Arial" w:hAnsi="Arial" w:cs="Arial"/>
          <w:b/>
          <w:sz w:val="20"/>
          <w:szCs w:val="20"/>
          <w:u w:val="single"/>
        </w:rPr>
        <w:t>.</w:t>
      </w:r>
      <w:r>
        <w:rPr>
          <w:rFonts w:ascii="Arial" w:hAnsi="Arial" w:cs="Arial"/>
          <w:bCs/>
          <w:sz w:val="20"/>
          <w:szCs w:val="20"/>
        </w:rPr>
        <w:t xml:space="preserve"> </w:t>
      </w:r>
      <w:r w:rsidRPr="00BC04B2">
        <w:rPr>
          <w:rFonts w:ascii="Arial" w:hAnsi="Arial" w:cs="Arial"/>
          <w:bCs/>
          <w:sz w:val="20"/>
          <w:szCs w:val="20"/>
        </w:rPr>
        <w:t>Tests of heterogeneity in the relationships between %TWL and T2DM</w:t>
      </w:r>
      <w:r w:rsidR="0026405B">
        <w:rPr>
          <w:rFonts w:ascii="Arial" w:hAnsi="Arial" w:cs="Arial"/>
          <w:bCs/>
          <w:sz w:val="20"/>
          <w:szCs w:val="20"/>
        </w:rPr>
        <w:t>.</w:t>
      </w:r>
    </w:p>
    <w:p w14:paraId="64DA0CBD" w14:textId="77777777" w:rsidR="0026405B" w:rsidRPr="00BC04B2" w:rsidRDefault="0026405B" w:rsidP="00D00475">
      <w:pPr>
        <w:pStyle w:val="NoSpacing"/>
        <w:rPr>
          <w:rFonts w:ascii="Arial" w:hAnsi="Arial" w:cs="Arial"/>
          <w:bCs/>
          <w:sz w:val="20"/>
          <w:szCs w:val="20"/>
        </w:rPr>
      </w:pPr>
    </w:p>
    <w:tbl>
      <w:tblPr>
        <w:tblW w:w="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640"/>
        <w:gridCol w:w="960"/>
      </w:tblGrid>
      <w:tr w:rsidR="00D00475" w:rsidRPr="00882EC3" w14:paraId="2CFC7E95" w14:textId="77777777" w:rsidTr="0026405B">
        <w:trPr>
          <w:trHeight w:val="255"/>
        </w:trPr>
        <w:tc>
          <w:tcPr>
            <w:tcW w:w="3600" w:type="dxa"/>
            <w:shd w:val="clear" w:color="auto" w:fill="auto"/>
            <w:noWrap/>
            <w:vAlign w:val="bottom"/>
            <w:hideMark/>
          </w:tcPr>
          <w:p w14:paraId="1A54B09B" w14:textId="77777777" w:rsidR="00D00475" w:rsidRPr="00882EC3" w:rsidRDefault="00D00475" w:rsidP="0026405B">
            <w:pPr>
              <w:spacing w:after="0" w:line="240" w:lineRule="auto"/>
              <w:rPr>
                <w:rFonts w:ascii="Arial" w:eastAsia="Times New Roman" w:hAnsi="Arial" w:cs="Arial"/>
                <w:b/>
                <w:bCs/>
                <w:sz w:val="20"/>
                <w:szCs w:val="20"/>
              </w:rPr>
            </w:pPr>
            <w:r w:rsidRPr="00882EC3">
              <w:rPr>
                <w:rFonts w:ascii="Arial" w:eastAsia="Times New Roman" w:hAnsi="Arial" w:cs="Arial"/>
                <w:b/>
                <w:bCs/>
                <w:sz w:val="20"/>
                <w:szCs w:val="20"/>
              </w:rPr>
              <w:t>Comparison</w:t>
            </w:r>
          </w:p>
        </w:tc>
        <w:tc>
          <w:tcPr>
            <w:tcW w:w="1640" w:type="dxa"/>
            <w:shd w:val="clear" w:color="auto" w:fill="auto"/>
            <w:noWrap/>
            <w:vAlign w:val="bottom"/>
            <w:hideMark/>
          </w:tcPr>
          <w:p w14:paraId="3E07DDDC" w14:textId="77777777" w:rsidR="00D00475" w:rsidRPr="00882EC3" w:rsidRDefault="00D00475" w:rsidP="0026405B">
            <w:pPr>
              <w:spacing w:after="0" w:line="240" w:lineRule="auto"/>
              <w:rPr>
                <w:rFonts w:ascii="Arial" w:eastAsia="Times New Roman" w:hAnsi="Arial" w:cs="Arial"/>
                <w:b/>
                <w:bCs/>
                <w:sz w:val="20"/>
                <w:szCs w:val="20"/>
              </w:rPr>
            </w:pPr>
            <w:r w:rsidRPr="00882EC3">
              <w:rPr>
                <w:rFonts w:ascii="Arial" w:eastAsia="Times New Roman" w:hAnsi="Arial" w:cs="Arial"/>
                <w:b/>
                <w:bCs/>
                <w:sz w:val="20"/>
                <w:szCs w:val="20"/>
              </w:rPr>
              <w:t>Chi-squared</w:t>
            </w:r>
          </w:p>
        </w:tc>
        <w:tc>
          <w:tcPr>
            <w:tcW w:w="960" w:type="dxa"/>
            <w:shd w:val="clear" w:color="auto" w:fill="auto"/>
            <w:noWrap/>
            <w:vAlign w:val="bottom"/>
            <w:hideMark/>
          </w:tcPr>
          <w:p w14:paraId="4ED71990" w14:textId="77777777" w:rsidR="00D00475" w:rsidRPr="00882EC3" w:rsidRDefault="00D00475" w:rsidP="0026405B">
            <w:pPr>
              <w:spacing w:after="0" w:line="240" w:lineRule="auto"/>
              <w:rPr>
                <w:rFonts w:ascii="Arial" w:eastAsia="Times New Roman" w:hAnsi="Arial" w:cs="Arial"/>
                <w:b/>
                <w:bCs/>
                <w:sz w:val="20"/>
                <w:szCs w:val="20"/>
              </w:rPr>
            </w:pPr>
            <w:r w:rsidRPr="00882EC3">
              <w:rPr>
                <w:rFonts w:ascii="Arial" w:eastAsia="Times New Roman" w:hAnsi="Arial" w:cs="Arial"/>
                <w:b/>
                <w:bCs/>
                <w:sz w:val="20"/>
                <w:szCs w:val="20"/>
              </w:rPr>
              <w:t>p</w:t>
            </w:r>
          </w:p>
        </w:tc>
      </w:tr>
      <w:tr w:rsidR="00D00475" w:rsidRPr="00882EC3" w14:paraId="7F4CC11A" w14:textId="77777777" w:rsidTr="0026405B">
        <w:trPr>
          <w:trHeight w:val="255"/>
        </w:trPr>
        <w:tc>
          <w:tcPr>
            <w:tcW w:w="3600" w:type="dxa"/>
            <w:shd w:val="clear" w:color="auto" w:fill="auto"/>
            <w:noWrap/>
            <w:vAlign w:val="bottom"/>
            <w:hideMark/>
          </w:tcPr>
          <w:p w14:paraId="6D90E8BA" w14:textId="77777777" w:rsidR="00D00475" w:rsidRPr="00882EC3" w:rsidRDefault="00D00475" w:rsidP="0026405B">
            <w:pPr>
              <w:spacing w:after="0" w:line="240" w:lineRule="auto"/>
              <w:rPr>
                <w:rFonts w:ascii="Arial" w:eastAsia="Times New Roman" w:hAnsi="Arial" w:cs="Arial"/>
                <w:sz w:val="20"/>
                <w:szCs w:val="20"/>
              </w:rPr>
            </w:pPr>
            <w:r>
              <w:rPr>
                <w:rFonts w:ascii="Arial" w:eastAsia="Times New Roman" w:hAnsi="Arial" w:cs="Arial"/>
                <w:sz w:val="20"/>
                <w:szCs w:val="20"/>
              </w:rPr>
              <w:t>Age&gt;=65 vs a</w:t>
            </w:r>
            <w:r w:rsidRPr="00882EC3">
              <w:rPr>
                <w:rFonts w:ascii="Arial" w:eastAsia="Times New Roman" w:hAnsi="Arial" w:cs="Arial"/>
                <w:sz w:val="20"/>
                <w:szCs w:val="20"/>
              </w:rPr>
              <w:t>ge&lt;65</w:t>
            </w:r>
          </w:p>
        </w:tc>
        <w:tc>
          <w:tcPr>
            <w:tcW w:w="1640" w:type="dxa"/>
            <w:shd w:val="clear" w:color="auto" w:fill="auto"/>
            <w:noWrap/>
            <w:vAlign w:val="bottom"/>
            <w:hideMark/>
          </w:tcPr>
          <w:p w14:paraId="6B3D162A"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1.14</w:t>
            </w:r>
          </w:p>
        </w:tc>
        <w:tc>
          <w:tcPr>
            <w:tcW w:w="960" w:type="dxa"/>
            <w:shd w:val="clear" w:color="auto" w:fill="auto"/>
            <w:noWrap/>
            <w:vAlign w:val="bottom"/>
            <w:hideMark/>
          </w:tcPr>
          <w:p w14:paraId="218826FF"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0.95</w:t>
            </w:r>
          </w:p>
        </w:tc>
      </w:tr>
      <w:tr w:rsidR="00D00475" w:rsidRPr="00882EC3" w14:paraId="2E1C1170" w14:textId="77777777" w:rsidTr="0026405B">
        <w:trPr>
          <w:trHeight w:val="255"/>
        </w:trPr>
        <w:tc>
          <w:tcPr>
            <w:tcW w:w="3600" w:type="dxa"/>
            <w:shd w:val="clear" w:color="auto" w:fill="auto"/>
            <w:noWrap/>
            <w:vAlign w:val="bottom"/>
            <w:hideMark/>
          </w:tcPr>
          <w:p w14:paraId="3E98F2B0"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BMI&gt;=50 vs BMI&lt;50</w:t>
            </w:r>
          </w:p>
        </w:tc>
        <w:tc>
          <w:tcPr>
            <w:tcW w:w="1640" w:type="dxa"/>
            <w:shd w:val="clear" w:color="auto" w:fill="auto"/>
            <w:noWrap/>
            <w:vAlign w:val="bottom"/>
            <w:hideMark/>
          </w:tcPr>
          <w:p w14:paraId="0CA327AD"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1.42</w:t>
            </w:r>
          </w:p>
        </w:tc>
        <w:tc>
          <w:tcPr>
            <w:tcW w:w="960" w:type="dxa"/>
            <w:shd w:val="clear" w:color="auto" w:fill="auto"/>
            <w:noWrap/>
            <w:vAlign w:val="bottom"/>
            <w:hideMark/>
          </w:tcPr>
          <w:p w14:paraId="6A35D43D"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0.92</w:t>
            </w:r>
          </w:p>
        </w:tc>
      </w:tr>
      <w:tr w:rsidR="00D00475" w:rsidRPr="00882EC3" w14:paraId="1F6D3EDD" w14:textId="77777777" w:rsidTr="0026405B">
        <w:trPr>
          <w:trHeight w:val="255"/>
        </w:trPr>
        <w:tc>
          <w:tcPr>
            <w:tcW w:w="3600" w:type="dxa"/>
            <w:shd w:val="clear" w:color="auto" w:fill="auto"/>
            <w:noWrap/>
            <w:vAlign w:val="bottom"/>
            <w:hideMark/>
          </w:tcPr>
          <w:p w14:paraId="05D5B109"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Insulin vs no insulin</w:t>
            </w:r>
          </w:p>
        </w:tc>
        <w:tc>
          <w:tcPr>
            <w:tcW w:w="1640" w:type="dxa"/>
            <w:shd w:val="clear" w:color="auto" w:fill="auto"/>
            <w:noWrap/>
            <w:vAlign w:val="bottom"/>
            <w:hideMark/>
          </w:tcPr>
          <w:p w14:paraId="71F55459"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79.18</w:t>
            </w:r>
          </w:p>
        </w:tc>
        <w:tc>
          <w:tcPr>
            <w:tcW w:w="960" w:type="dxa"/>
            <w:shd w:val="clear" w:color="auto" w:fill="auto"/>
            <w:noWrap/>
            <w:vAlign w:val="bottom"/>
            <w:hideMark/>
          </w:tcPr>
          <w:p w14:paraId="6BB1CF5E"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0.00</w:t>
            </w:r>
          </w:p>
        </w:tc>
      </w:tr>
      <w:tr w:rsidR="00D00475" w:rsidRPr="00882EC3" w14:paraId="6CA6EFB7" w14:textId="77777777" w:rsidTr="0026405B">
        <w:trPr>
          <w:trHeight w:val="255"/>
        </w:trPr>
        <w:tc>
          <w:tcPr>
            <w:tcW w:w="3600" w:type="dxa"/>
            <w:shd w:val="clear" w:color="auto" w:fill="auto"/>
            <w:noWrap/>
            <w:vAlign w:val="bottom"/>
            <w:hideMark/>
          </w:tcPr>
          <w:p w14:paraId="3D11658C"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Black vs White</w:t>
            </w:r>
          </w:p>
        </w:tc>
        <w:tc>
          <w:tcPr>
            <w:tcW w:w="1640" w:type="dxa"/>
            <w:shd w:val="clear" w:color="auto" w:fill="auto"/>
            <w:noWrap/>
            <w:vAlign w:val="bottom"/>
            <w:hideMark/>
          </w:tcPr>
          <w:p w14:paraId="5F718DB7"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28.55</w:t>
            </w:r>
          </w:p>
        </w:tc>
        <w:tc>
          <w:tcPr>
            <w:tcW w:w="960" w:type="dxa"/>
            <w:shd w:val="clear" w:color="auto" w:fill="auto"/>
            <w:noWrap/>
            <w:vAlign w:val="bottom"/>
            <w:hideMark/>
          </w:tcPr>
          <w:p w14:paraId="225687DD"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0.00</w:t>
            </w:r>
          </w:p>
        </w:tc>
      </w:tr>
      <w:tr w:rsidR="00D00475" w:rsidRPr="00882EC3" w14:paraId="347C4125" w14:textId="77777777" w:rsidTr="0026405B">
        <w:trPr>
          <w:trHeight w:val="255"/>
        </w:trPr>
        <w:tc>
          <w:tcPr>
            <w:tcW w:w="3600" w:type="dxa"/>
            <w:shd w:val="clear" w:color="auto" w:fill="auto"/>
            <w:noWrap/>
            <w:vAlign w:val="bottom"/>
            <w:hideMark/>
          </w:tcPr>
          <w:p w14:paraId="5B4735CA"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Hispanic vs White</w:t>
            </w:r>
          </w:p>
        </w:tc>
        <w:tc>
          <w:tcPr>
            <w:tcW w:w="1640" w:type="dxa"/>
            <w:shd w:val="clear" w:color="auto" w:fill="auto"/>
            <w:noWrap/>
            <w:vAlign w:val="bottom"/>
            <w:hideMark/>
          </w:tcPr>
          <w:p w14:paraId="55E77F64"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8.10</w:t>
            </w:r>
          </w:p>
        </w:tc>
        <w:tc>
          <w:tcPr>
            <w:tcW w:w="960" w:type="dxa"/>
            <w:shd w:val="clear" w:color="auto" w:fill="auto"/>
            <w:noWrap/>
            <w:vAlign w:val="bottom"/>
            <w:hideMark/>
          </w:tcPr>
          <w:p w14:paraId="2D0F0695"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0.15</w:t>
            </w:r>
          </w:p>
        </w:tc>
      </w:tr>
      <w:tr w:rsidR="00D00475" w:rsidRPr="00882EC3" w14:paraId="78EEFE10" w14:textId="77777777" w:rsidTr="0026405B">
        <w:trPr>
          <w:trHeight w:val="255"/>
        </w:trPr>
        <w:tc>
          <w:tcPr>
            <w:tcW w:w="3600" w:type="dxa"/>
            <w:shd w:val="clear" w:color="auto" w:fill="auto"/>
            <w:noWrap/>
            <w:vAlign w:val="bottom"/>
            <w:hideMark/>
          </w:tcPr>
          <w:p w14:paraId="1DDBF911" w14:textId="77777777" w:rsidR="00D00475" w:rsidRPr="00882EC3" w:rsidRDefault="00D00475" w:rsidP="0026405B">
            <w:pPr>
              <w:spacing w:after="0" w:line="240" w:lineRule="auto"/>
              <w:rPr>
                <w:rFonts w:ascii="Arial" w:eastAsia="Times New Roman" w:hAnsi="Arial" w:cs="Arial"/>
                <w:sz w:val="20"/>
                <w:szCs w:val="20"/>
              </w:rPr>
            </w:pPr>
            <w:proofErr w:type="gramStart"/>
            <w:r w:rsidRPr="00882EC3">
              <w:rPr>
                <w:rFonts w:ascii="Arial" w:eastAsia="Times New Roman" w:hAnsi="Arial" w:cs="Arial"/>
                <w:sz w:val="20"/>
                <w:szCs w:val="20"/>
              </w:rPr>
              <w:t>Other</w:t>
            </w:r>
            <w:proofErr w:type="gramEnd"/>
            <w:r w:rsidRPr="00882EC3">
              <w:rPr>
                <w:rFonts w:ascii="Arial" w:eastAsia="Times New Roman" w:hAnsi="Arial" w:cs="Arial"/>
                <w:sz w:val="20"/>
                <w:szCs w:val="20"/>
              </w:rPr>
              <w:t xml:space="preserve"> vs White</w:t>
            </w:r>
          </w:p>
        </w:tc>
        <w:tc>
          <w:tcPr>
            <w:tcW w:w="1640" w:type="dxa"/>
            <w:shd w:val="clear" w:color="auto" w:fill="auto"/>
            <w:noWrap/>
            <w:vAlign w:val="bottom"/>
            <w:hideMark/>
          </w:tcPr>
          <w:p w14:paraId="1AEEC5BD"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1.14</w:t>
            </w:r>
          </w:p>
        </w:tc>
        <w:tc>
          <w:tcPr>
            <w:tcW w:w="960" w:type="dxa"/>
            <w:shd w:val="clear" w:color="auto" w:fill="auto"/>
            <w:noWrap/>
            <w:vAlign w:val="bottom"/>
            <w:hideMark/>
          </w:tcPr>
          <w:p w14:paraId="55249EDA"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0.95</w:t>
            </w:r>
          </w:p>
        </w:tc>
      </w:tr>
      <w:tr w:rsidR="00D00475" w:rsidRPr="00882EC3" w14:paraId="4D287FC5" w14:textId="77777777" w:rsidTr="0026405B">
        <w:trPr>
          <w:trHeight w:val="255"/>
        </w:trPr>
        <w:tc>
          <w:tcPr>
            <w:tcW w:w="3600" w:type="dxa"/>
            <w:shd w:val="clear" w:color="auto" w:fill="auto"/>
            <w:noWrap/>
            <w:vAlign w:val="bottom"/>
            <w:hideMark/>
          </w:tcPr>
          <w:p w14:paraId="0395A919"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Hispanic vs Black</w:t>
            </w:r>
          </w:p>
        </w:tc>
        <w:tc>
          <w:tcPr>
            <w:tcW w:w="1640" w:type="dxa"/>
            <w:shd w:val="clear" w:color="auto" w:fill="auto"/>
            <w:noWrap/>
            <w:vAlign w:val="bottom"/>
            <w:hideMark/>
          </w:tcPr>
          <w:p w14:paraId="1F84CC2C"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34.55</w:t>
            </w:r>
          </w:p>
        </w:tc>
        <w:tc>
          <w:tcPr>
            <w:tcW w:w="960" w:type="dxa"/>
            <w:shd w:val="clear" w:color="auto" w:fill="auto"/>
            <w:noWrap/>
            <w:vAlign w:val="bottom"/>
            <w:hideMark/>
          </w:tcPr>
          <w:p w14:paraId="44996E47"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0.00</w:t>
            </w:r>
          </w:p>
        </w:tc>
      </w:tr>
      <w:tr w:rsidR="00D00475" w:rsidRPr="00882EC3" w14:paraId="0BE92DBD" w14:textId="77777777" w:rsidTr="0026405B">
        <w:trPr>
          <w:trHeight w:val="255"/>
        </w:trPr>
        <w:tc>
          <w:tcPr>
            <w:tcW w:w="3600" w:type="dxa"/>
            <w:shd w:val="clear" w:color="auto" w:fill="auto"/>
            <w:noWrap/>
            <w:vAlign w:val="bottom"/>
            <w:hideMark/>
          </w:tcPr>
          <w:p w14:paraId="25BA8A93" w14:textId="77777777" w:rsidR="00D00475" w:rsidRPr="00882EC3" w:rsidRDefault="00D00475" w:rsidP="0026405B">
            <w:pPr>
              <w:spacing w:after="0" w:line="240" w:lineRule="auto"/>
              <w:rPr>
                <w:rFonts w:ascii="Arial" w:eastAsia="Times New Roman" w:hAnsi="Arial" w:cs="Arial"/>
                <w:sz w:val="20"/>
                <w:szCs w:val="20"/>
              </w:rPr>
            </w:pPr>
            <w:proofErr w:type="gramStart"/>
            <w:r w:rsidRPr="00882EC3">
              <w:rPr>
                <w:rFonts w:ascii="Arial" w:eastAsia="Times New Roman" w:hAnsi="Arial" w:cs="Arial"/>
                <w:sz w:val="20"/>
                <w:szCs w:val="20"/>
              </w:rPr>
              <w:t>Other</w:t>
            </w:r>
            <w:proofErr w:type="gramEnd"/>
            <w:r w:rsidRPr="00882EC3">
              <w:rPr>
                <w:rFonts w:ascii="Arial" w:eastAsia="Times New Roman" w:hAnsi="Arial" w:cs="Arial"/>
                <w:sz w:val="20"/>
                <w:szCs w:val="20"/>
              </w:rPr>
              <w:t xml:space="preserve"> vs Black</w:t>
            </w:r>
          </w:p>
        </w:tc>
        <w:tc>
          <w:tcPr>
            <w:tcW w:w="1640" w:type="dxa"/>
            <w:shd w:val="clear" w:color="auto" w:fill="auto"/>
            <w:noWrap/>
            <w:vAlign w:val="bottom"/>
            <w:hideMark/>
          </w:tcPr>
          <w:p w14:paraId="0062F35C"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5.42</w:t>
            </w:r>
          </w:p>
        </w:tc>
        <w:tc>
          <w:tcPr>
            <w:tcW w:w="960" w:type="dxa"/>
            <w:shd w:val="clear" w:color="auto" w:fill="auto"/>
            <w:noWrap/>
            <w:vAlign w:val="bottom"/>
            <w:hideMark/>
          </w:tcPr>
          <w:p w14:paraId="6F1ECE9C"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0.37</w:t>
            </w:r>
          </w:p>
        </w:tc>
      </w:tr>
      <w:tr w:rsidR="00D00475" w:rsidRPr="00882EC3" w14:paraId="4EB00FB0" w14:textId="77777777" w:rsidTr="0026405B">
        <w:trPr>
          <w:trHeight w:val="255"/>
        </w:trPr>
        <w:tc>
          <w:tcPr>
            <w:tcW w:w="3600" w:type="dxa"/>
            <w:shd w:val="clear" w:color="auto" w:fill="auto"/>
            <w:noWrap/>
            <w:vAlign w:val="bottom"/>
            <w:hideMark/>
          </w:tcPr>
          <w:p w14:paraId="0B8C5F4A"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Other vs Hispanic</w:t>
            </w:r>
          </w:p>
        </w:tc>
        <w:tc>
          <w:tcPr>
            <w:tcW w:w="1640" w:type="dxa"/>
            <w:shd w:val="clear" w:color="auto" w:fill="auto"/>
            <w:noWrap/>
            <w:vAlign w:val="bottom"/>
            <w:hideMark/>
          </w:tcPr>
          <w:p w14:paraId="23305321"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0.62</w:t>
            </w:r>
          </w:p>
        </w:tc>
        <w:tc>
          <w:tcPr>
            <w:tcW w:w="960" w:type="dxa"/>
            <w:shd w:val="clear" w:color="auto" w:fill="auto"/>
            <w:noWrap/>
            <w:vAlign w:val="bottom"/>
            <w:hideMark/>
          </w:tcPr>
          <w:p w14:paraId="0FF1EA24"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0.99</w:t>
            </w:r>
          </w:p>
        </w:tc>
      </w:tr>
      <w:tr w:rsidR="00D00475" w:rsidRPr="00882EC3" w14:paraId="606F221F" w14:textId="77777777" w:rsidTr="0026405B">
        <w:trPr>
          <w:trHeight w:val="255"/>
        </w:trPr>
        <w:tc>
          <w:tcPr>
            <w:tcW w:w="3600" w:type="dxa"/>
            <w:shd w:val="clear" w:color="auto" w:fill="auto"/>
            <w:noWrap/>
            <w:vAlign w:val="bottom"/>
            <w:hideMark/>
          </w:tcPr>
          <w:p w14:paraId="5356BE02" w14:textId="77777777" w:rsidR="00D00475" w:rsidRPr="00882EC3" w:rsidRDefault="00D00475" w:rsidP="0026405B">
            <w:pPr>
              <w:spacing w:after="0" w:line="240" w:lineRule="auto"/>
              <w:rPr>
                <w:rFonts w:ascii="Arial" w:eastAsia="Times New Roman" w:hAnsi="Arial" w:cs="Arial"/>
                <w:sz w:val="20"/>
                <w:szCs w:val="20"/>
              </w:rPr>
            </w:pPr>
            <w:proofErr w:type="spellStart"/>
            <w:r w:rsidRPr="00882EC3">
              <w:rPr>
                <w:rFonts w:ascii="Arial" w:eastAsia="Times New Roman" w:hAnsi="Arial" w:cs="Arial"/>
                <w:sz w:val="20"/>
                <w:szCs w:val="20"/>
              </w:rPr>
              <w:t>DiaRem</w:t>
            </w:r>
            <w:proofErr w:type="spellEnd"/>
            <w:r w:rsidRPr="00882EC3">
              <w:rPr>
                <w:rFonts w:ascii="Arial" w:eastAsia="Times New Roman" w:hAnsi="Arial" w:cs="Arial"/>
                <w:sz w:val="20"/>
                <w:szCs w:val="20"/>
              </w:rPr>
              <w:t xml:space="preserve"> high vs </w:t>
            </w:r>
            <w:proofErr w:type="spellStart"/>
            <w:r w:rsidRPr="00882EC3">
              <w:rPr>
                <w:rFonts w:ascii="Arial" w:eastAsia="Times New Roman" w:hAnsi="Arial" w:cs="Arial"/>
                <w:sz w:val="20"/>
                <w:szCs w:val="20"/>
              </w:rPr>
              <w:t>DiaRem</w:t>
            </w:r>
            <w:proofErr w:type="spellEnd"/>
            <w:r w:rsidRPr="00882EC3">
              <w:rPr>
                <w:rFonts w:ascii="Arial" w:eastAsia="Times New Roman" w:hAnsi="Arial" w:cs="Arial"/>
                <w:sz w:val="20"/>
                <w:szCs w:val="20"/>
              </w:rPr>
              <w:t xml:space="preserve"> low</w:t>
            </w:r>
          </w:p>
        </w:tc>
        <w:tc>
          <w:tcPr>
            <w:tcW w:w="1640" w:type="dxa"/>
            <w:shd w:val="clear" w:color="auto" w:fill="auto"/>
            <w:noWrap/>
            <w:vAlign w:val="bottom"/>
            <w:hideMark/>
          </w:tcPr>
          <w:p w14:paraId="41C44238"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79.91</w:t>
            </w:r>
          </w:p>
        </w:tc>
        <w:tc>
          <w:tcPr>
            <w:tcW w:w="960" w:type="dxa"/>
            <w:shd w:val="clear" w:color="auto" w:fill="auto"/>
            <w:noWrap/>
            <w:vAlign w:val="bottom"/>
            <w:hideMark/>
          </w:tcPr>
          <w:p w14:paraId="212D42FA"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0.00</w:t>
            </w:r>
          </w:p>
        </w:tc>
      </w:tr>
      <w:tr w:rsidR="00D00475" w:rsidRPr="00882EC3" w14:paraId="21F31F0C" w14:textId="77777777" w:rsidTr="0026405B">
        <w:trPr>
          <w:trHeight w:val="255"/>
        </w:trPr>
        <w:tc>
          <w:tcPr>
            <w:tcW w:w="3600" w:type="dxa"/>
            <w:shd w:val="clear" w:color="auto" w:fill="auto"/>
            <w:noWrap/>
            <w:vAlign w:val="bottom"/>
            <w:hideMark/>
          </w:tcPr>
          <w:p w14:paraId="227CED09"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RYGB vs SG</w:t>
            </w:r>
          </w:p>
        </w:tc>
        <w:tc>
          <w:tcPr>
            <w:tcW w:w="1640" w:type="dxa"/>
            <w:shd w:val="clear" w:color="auto" w:fill="auto"/>
            <w:noWrap/>
            <w:vAlign w:val="bottom"/>
            <w:hideMark/>
          </w:tcPr>
          <w:p w14:paraId="2D9E29B8"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22.93</w:t>
            </w:r>
          </w:p>
        </w:tc>
        <w:tc>
          <w:tcPr>
            <w:tcW w:w="960" w:type="dxa"/>
            <w:shd w:val="clear" w:color="auto" w:fill="auto"/>
            <w:noWrap/>
            <w:vAlign w:val="bottom"/>
            <w:hideMark/>
          </w:tcPr>
          <w:p w14:paraId="27B33B35" w14:textId="77777777" w:rsidR="00D00475" w:rsidRPr="00882EC3" w:rsidRDefault="00D00475" w:rsidP="0026405B">
            <w:pPr>
              <w:spacing w:after="0" w:line="240" w:lineRule="auto"/>
              <w:rPr>
                <w:rFonts w:ascii="Arial" w:eastAsia="Times New Roman" w:hAnsi="Arial" w:cs="Arial"/>
                <w:sz w:val="20"/>
                <w:szCs w:val="20"/>
              </w:rPr>
            </w:pPr>
            <w:r w:rsidRPr="00882EC3">
              <w:rPr>
                <w:rFonts w:ascii="Arial" w:eastAsia="Times New Roman" w:hAnsi="Arial" w:cs="Arial"/>
                <w:sz w:val="20"/>
                <w:szCs w:val="20"/>
              </w:rPr>
              <w:t>0.00</w:t>
            </w:r>
          </w:p>
        </w:tc>
      </w:tr>
    </w:tbl>
    <w:p w14:paraId="06FACB15" w14:textId="77777777" w:rsidR="00D00475" w:rsidRPr="00A6296D" w:rsidRDefault="00D00475" w:rsidP="00D00475">
      <w:pPr>
        <w:pStyle w:val="NoSpacing"/>
        <w:jc w:val="both"/>
        <w:rPr>
          <w:rFonts w:ascii="Arial" w:hAnsi="Arial" w:cs="Arial"/>
          <w:sz w:val="20"/>
          <w:szCs w:val="20"/>
        </w:rPr>
      </w:pPr>
      <w:r>
        <w:rPr>
          <w:rFonts w:ascii="Arial" w:hAnsi="Arial" w:cs="Arial"/>
          <w:sz w:val="16"/>
          <w:szCs w:val="16"/>
        </w:rPr>
        <w:t xml:space="preserve">Results of Wald tests of the joint hypothesis that the model coefficients on the interactions between the five categories of %TWL and one side of comparison group are equal to the coefficients on the interactions between the five categories of %TWL and the other side of the comparison group. P-values reflect the joint significance of a chi-squared test with 5 degrees of freedom. Abbreviations: </w:t>
      </w:r>
      <w:r w:rsidRPr="009700C7">
        <w:rPr>
          <w:rFonts w:ascii="Arial" w:eastAsia="Times New Roman" w:hAnsi="Arial" w:cs="Arial"/>
          <w:color w:val="000000"/>
          <w:sz w:val="16"/>
          <w:szCs w:val="16"/>
        </w:rPr>
        <w:t>BMI (body mass index)</w:t>
      </w:r>
      <w:r>
        <w:rPr>
          <w:rFonts w:ascii="Arial" w:eastAsia="Times New Roman" w:hAnsi="Arial" w:cs="Arial"/>
          <w:color w:val="000000"/>
          <w:sz w:val="16"/>
          <w:szCs w:val="16"/>
        </w:rPr>
        <w:t xml:space="preserve">, TWL (total weight loss), </w:t>
      </w:r>
      <w:r w:rsidRPr="00832888">
        <w:rPr>
          <w:rFonts w:ascii="Arial" w:eastAsia="Times New Roman" w:hAnsi="Arial" w:cs="Arial"/>
          <w:color w:val="000000"/>
          <w:sz w:val="16"/>
          <w:szCs w:val="16"/>
        </w:rPr>
        <w:t xml:space="preserve">T2DM (type 2 diabetes mellitus), RYGB (Roux-en-Y Gastric Bypass), </w:t>
      </w:r>
      <w:proofErr w:type="spellStart"/>
      <w:r w:rsidRPr="00832888">
        <w:rPr>
          <w:rFonts w:ascii="Arial" w:eastAsia="Times New Roman" w:hAnsi="Arial" w:cs="Arial"/>
          <w:color w:val="000000"/>
          <w:sz w:val="16"/>
          <w:szCs w:val="16"/>
        </w:rPr>
        <w:t>DiaRem</w:t>
      </w:r>
      <w:proofErr w:type="spellEnd"/>
      <w:r w:rsidRPr="00832888">
        <w:rPr>
          <w:rFonts w:ascii="Arial" w:eastAsia="Times New Roman" w:hAnsi="Arial" w:cs="Arial"/>
          <w:color w:val="000000"/>
          <w:sz w:val="16"/>
          <w:szCs w:val="16"/>
        </w:rPr>
        <w:t xml:space="preserve"> (Diabetes Remission Score), </w:t>
      </w:r>
      <w:r>
        <w:rPr>
          <w:rFonts w:ascii="Arial" w:eastAsia="Times New Roman" w:hAnsi="Arial" w:cs="Arial"/>
          <w:color w:val="000000"/>
          <w:sz w:val="16"/>
          <w:szCs w:val="16"/>
        </w:rPr>
        <w:t>SG (gastric sleeve),</w:t>
      </w:r>
    </w:p>
    <w:p w14:paraId="5E4D8F30" w14:textId="77777777" w:rsidR="00D00475" w:rsidRPr="006629F2" w:rsidRDefault="00D00475" w:rsidP="00D00475">
      <w:pPr>
        <w:pStyle w:val="NoSpacing"/>
        <w:rPr>
          <w:rFonts w:ascii="Arial" w:hAnsi="Arial" w:cs="Arial"/>
          <w:sz w:val="16"/>
          <w:szCs w:val="16"/>
        </w:rPr>
      </w:pPr>
    </w:p>
    <w:p w14:paraId="607B04DE" w14:textId="61C3736F" w:rsidR="00D00475" w:rsidRDefault="00D00475" w:rsidP="00D00475">
      <w:pPr>
        <w:pStyle w:val="NoSpacing"/>
        <w:rPr>
          <w:rFonts w:ascii="Arial" w:hAnsi="Arial" w:cs="Arial"/>
          <w:sz w:val="20"/>
          <w:szCs w:val="20"/>
        </w:rPr>
      </w:pPr>
    </w:p>
    <w:p w14:paraId="223045DD" w14:textId="30F4FABD" w:rsidR="00D00475" w:rsidRDefault="00D00475" w:rsidP="00D00475">
      <w:pPr>
        <w:pStyle w:val="NoSpacing"/>
        <w:rPr>
          <w:rFonts w:ascii="Arial" w:hAnsi="Arial" w:cs="Arial"/>
          <w:sz w:val="20"/>
          <w:szCs w:val="20"/>
        </w:rPr>
      </w:pPr>
    </w:p>
    <w:p w14:paraId="4143FB21" w14:textId="6805EBFD" w:rsidR="00D00475" w:rsidRDefault="00D00475" w:rsidP="00D00475">
      <w:pPr>
        <w:pStyle w:val="NoSpacing"/>
        <w:rPr>
          <w:rFonts w:ascii="Arial" w:hAnsi="Arial" w:cs="Arial"/>
          <w:sz w:val="20"/>
          <w:szCs w:val="20"/>
        </w:rPr>
      </w:pPr>
    </w:p>
    <w:p w14:paraId="463B424B" w14:textId="6A6B1AF9" w:rsidR="00D00475" w:rsidRDefault="00D00475" w:rsidP="00D00475">
      <w:pPr>
        <w:pStyle w:val="NoSpacing"/>
        <w:rPr>
          <w:rFonts w:ascii="Arial" w:hAnsi="Arial" w:cs="Arial"/>
          <w:sz w:val="20"/>
          <w:szCs w:val="20"/>
        </w:rPr>
      </w:pPr>
    </w:p>
    <w:p w14:paraId="29F6B998" w14:textId="793ACEB6" w:rsidR="00D00475" w:rsidRDefault="00D00475" w:rsidP="00D00475">
      <w:pPr>
        <w:pStyle w:val="NoSpacing"/>
        <w:rPr>
          <w:rFonts w:ascii="Arial" w:hAnsi="Arial" w:cs="Arial"/>
          <w:sz w:val="20"/>
          <w:szCs w:val="20"/>
        </w:rPr>
      </w:pPr>
    </w:p>
    <w:p w14:paraId="76B07A3B" w14:textId="77777777" w:rsidR="001B28FE" w:rsidRDefault="001B28FE" w:rsidP="001B28FE">
      <w:pPr>
        <w:pStyle w:val="NoSpacing"/>
        <w:rPr>
          <w:rFonts w:ascii="Arial" w:hAnsi="Arial" w:cs="Arial"/>
          <w:sz w:val="20"/>
          <w:szCs w:val="20"/>
        </w:rPr>
      </w:pPr>
      <w:r w:rsidRPr="00D00475">
        <w:rPr>
          <w:rFonts w:ascii="Arial" w:eastAsia="Times New Roman" w:hAnsi="Arial" w:cs="Arial"/>
          <w:b/>
          <w:bCs/>
          <w:color w:val="000000"/>
          <w:sz w:val="20"/>
          <w:szCs w:val="20"/>
          <w:u w:val="single"/>
        </w:rPr>
        <w:t>Table S4</w:t>
      </w:r>
      <w:r>
        <w:rPr>
          <w:rFonts w:ascii="Arial" w:eastAsia="Times New Roman" w:hAnsi="Arial" w:cs="Arial"/>
          <w:b/>
          <w:bCs/>
          <w:color w:val="000000"/>
          <w:sz w:val="20"/>
          <w:szCs w:val="20"/>
        </w:rPr>
        <w:t xml:space="preserve">. </w:t>
      </w:r>
      <w:r w:rsidRPr="00D00475">
        <w:rPr>
          <w:rFonts w:ascii="Arial" w:eastAsia="Times New Roman" w:hAnsi="Arial" w:cs="Arial"/>
          <w:color w:val="000000"/>
          <w:sz w:val="20"/>
          <w:szCs w:val="20"/>
        </w:rPr>
        <w:t>Associations between change in HBA1C and percent weight change, estimated in an OLS regression with individual fixed effects</w:t>
      </w:r>
      <w:r>
        <w:rPr>
          <w:rFonts w:ascii="Arial" w:eastAsia="Times New Roman" w:hAnsi="Arial" w:cs="Arial"/>
          <w:color w:val="000000"/>
          <w:sz w:val="20"/>
          <w:szCs w:val="20"/>
        </w:rPr>
        <w:t>.</w:t>
      </w:r>
    </w:p>
    <w:p w14:paraId="6B4E2669" w14:textId="77777777" w:rsidR="001B28FE" w:rsidRDefault="001B28FE" w:rsidP="001B28FE">
      <w:pPr>
        <w:pStyle w:val="NoSpacing"/>
        <w:rPr>
          <w:rFonts w:ascii="Arial" w:hAnsi="Arial" w:cs="Arial"/>
          <w:sz w:val="20"/>
          <w:szCs w:val="20"/>
        </w:rPr>
      </w:pPr>
    </w:p>
    <w:tbl>
      <w:tblPr>
        <w:tblW w:w="8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161"/>
        <w:gridCol w:w="1570"/>
        <w:gridCol w:w="953"/>
        <w:gridCol w:w="2426"/>
        <w:gridCol w:w="661"/>
      </w:tblGrid>
      <w:tr w:rsidR="001B28FE" w:rsidRPr="00D00475" w14:paraId="5F771BFD" w14:textId="77777777" w:rsidTr="000E22E0">
        <w:trPr>
          <w:trHeight w:val="300"/>
        </w:trPr>
        <w:tc>
          <w:tcPr>
            <w:tcW w:w="1266" w:type="dxa"/>
            <w:shd w:val="clear" w:color="auto" w:fill="auto"/>
            <w:noWrap/>
            <w:vAlign w:val="bottom"/>
            <w:hideMark/>
          </w:tcPr>
          <w:p w14:paraId="30248973"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Weight loss</w:t>
            </w:r>
          </w:p>
        </w:tc>
        <w:tc>
          <w:tcPr>
            <w:tcW w:w="1161" w:type="dxa"/>
            <w:shd w:val="clear" w:color="auto" w:fill="auto"/>
            <w:noWrap/>
            <w:vAlign w:val="bottom"/>
            <w:hideMark/>
          </w:tcPr>
          <w:p w14:paraId="04B9CBA2"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Coefficient</w:t>
            </w:r>
          </w:p>
        </w:tc>
        <w:tc>
          <w:tcPr>
            <w:tcW w:w="1570" w:type="dxa"/>
            <w:shd w:val="clear" w:color="auto" w:fill="auto"/>
            <w:noWrap/>
            <w:vAlign w:val="bottom"/>
            <w:hideMark/>
          </w:tcPr>
          <w:p w14:paraId="66C5CAEF"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Standard error</w:t>
            </w:r>
          </w:p>
        </w:tc>
        <w:tc>
          <w:tcPr>
            <w:tcW w:w="953" w:type="dxa"/>
            <w:shd w:val="clear" w:color="auto" w:fill="auto"/>
            <w:noWrap/>
            <w:vAlign w:val="bottom"/>
            <w:hideMark/>
          </w:tcPr>
          <w:p w14:paraId="4D071ECC"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p-value</w:t>
            </w:r>
          </w:p>
        </w:tc>
        <w:tc>
          <w:tcPr>
            <w:tcW w:w="2426" w:type="dxa"/>
            <w:shd w:val="clear" w:color="auto" w:fill="auto"/>
            <w:noWrap/>
            <w:vAlign w:val="bottom"/>
            <w:hideMark/>
          </w:tcPr>
          <w:p w14:paraId="25354822"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95% confidence interval</w:t>
            </w:r>
          </w:p>
        </w:tc>
        <w:tc>
          <w:tcPr>
            <w:tcW w:w="661" w:type="dxa"/>
            <w:shd w:val="clear" w:color="auto" w:fill="auto"/>
            <w:noWrap/>
            <w:vAlign w:val="bottom"/>
            <w:hideMark/>
          </w:tcPr>
          <w:p w14:paraId="081D19E5"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N</w:t>
            </w:r>
          </w:p>
        </w:tc>
      </w:tr>
      <w:tr w:rsidR="001B28FE" w:rsidRPr="00D00475" w14:paraId="3F06FE0D" w14:textId="77777777" w:rsidTr="000E22E0">
        <w:trPr>
          <w:trHeight w:val="300"/>
        </w:trPr>
        <w:tc>
          <w:tcPr>
            <w:tcW w:w="1266" w:type="dxa"/>
            <w:shd w:val="clear" w:color="auto" w:fill="auto"/>
            <w:noWrap/>
            <w:vAlign w:val="bottom"/>
            <w:hideMark/>
          </w:tcPr>
          <w:p w14:paraId="7779A2C8"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0-5%</w:t>
            </w:r>
          </w:p>
        </w:tc>
        <w:tc>
          <w:tcPr>
            <w:tcW w:w="1161" w:type="dxa"/>
            <w:shd w:val="clear" w:color="auto" w:fill="auto"/>
            <w:noWrap/>
            <w:vAlign w:val="bottom"/>
            <w:hideMark/>
          </w:tcPr>
          <w:p w14:paraId="1066C5C0"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Reference</w:t>
            </w:r>
          </w:p>
        </w:tc>
        <w:tc>
          <w:tcPr>
            <w:tcW w:w="1570" w:type="dxa"/>
            <w:shd w:val="clear" w:color="auto" w:fill="auto"/>
            <w:noWrap/>
            <w:vAlign w:val="bottom"/>
            <w:hideMark/>
          </w:tcPr>
          <w:p w14:paraId="51BD0A3A" w14:textId="77777777" w:rsidR="001B28FE" w:rsidRPr="00D00475" w:rsidRDefault="001B28FE" w:rsidP="000E22E0">
            <w:pPr>
              <w:spacing w:after="0" w:line="240" w:lineRule="auto"/>
              <w:rPr>
                <w:rFonts w:ascii="Arial" w:eastAsia="Times New Roman" w:hAnsi="Arial" w:cs="Arial"/>
                <w:sz w:val="20"/>
                <w:szCs w:val="20"/>
              </w:rPr>
            </w:pPr>
          </w:p>
        </w:tc>
        <w:tc>
          <w:tcPr>
            <w:tcW w:w="953" w:type="dxa"/>
            <w:shd w:val="clear" w:color="auto" w:fill="auto"/>
            <w:noWrap/>
            <w:vAlign w:val="bottom"/>
            <w:hideMark/>
          </w:tcPr>
          <w:p w14:paraId="5C3E24BE" w14:textId="77777777" w:rsidR="001B28FE" w:rsidRPr="00D00475" w:rsidRDefault="001B28FE" w:rsidP="000E22E0">
            <w:pPr>
              <w:spacing w:after="0" w:line="240" w:lineRule="auto"/>
              <w:rPr>
                <w:rFonts w:ascii="Times New Roman" w:eastAsia="Times New Roman" w:hAnsi="Times New Roman" w:cs="Times New Roman"/>
                <w:sz w:val="20"/>
                <w:szCs w:val="20"/>
              </w:rPr>
            </w:pPr>
          </w:p>
        </w:tc>
        <w:tc>
          <w:tcPr>
            <w:tcW w:w="2426" w:type="dxa"/>
            <w:shd w:val="clear" w:color="auto" w:fill="auto"/>
            <w:noWrap/>
            <w:vAlign w:val="bottom"/>
            <w:hideMark/>
          </w:tcPr>
          <w:p w14:paraId="57146669" w14:textId="77777777" w:rsidR="001B28FE" w:rsidRPr="00D00475" w:rsidRDefault="001B28FE" w:rsidP="000E22E0">
            <w:pPr>
              <w:spacing w:after="0" w:line="240" w:lineRule="auto"/>
              <w:rPr>
                <w:rFonts w:ascii="Times New Roman" w:eastAsia="Times New Roman" w:hAnsi="Times New Roman" w:cs="Times New Roman"/>
                <w:sz w:val="20"/>
                <w:szCs w:val="20"/>
              </w:rPr>
            </w:pPr>
          </w:p>
        </w:tc>
        <w:tc>
          <w:tcPr>
            <w:tcW w:w="661" w:type="dxa"/>
            <w:shd w:val="clear" w:color="auto" w:fill="auto"/>
            <w:noWrap/>
            <w:vAlign w:val="bottom"/>
            <w:hideMark/>
          </w:tcPr>
          <w:p w14:paraId="44A9BEBC" w14:textId="77777777" w:rsidR="001B28FE" w:rsidRPr="00D00475" w:rsidRDefault="001B28FE" w:rsidP="000E22E0">
            <w:pPr>
              <w:spacing w:after="0" w:line="240" w:lineRule="auto"/>
              <w:jc w:val="right"/>
              <w:rPr>
                <w:rFonts w:ascii="Arial" w:eastAsia="Times New Roman" w:hAnsi="Arial" w:cs="Arial"/>
                <w:color w:val="000000"/>
                <w:sz w:val="20"/>
                <w:szCs w:val="20"/>
              </w:rPr>
            </w:pPr>
            <w:r w:rsidRPr="00D00475">
              <w:rPr>
                <w:rFonts w:ascii="Arial" w:eastAsia="Times New Roman" w:hAnsi="Arial" w:cs="Arial"/>
                <w:color w:val="000000"/>
                <w:sz w:val="20"/>
                <w:szCs w:val="20"/>
              </w:rPr>
              <w:t>214</w:t>
            </w:r>
          </w:p>
        </w:tc>
      </w:tr>
      <w:tr w:rsidR="001B28FE" w:rsidRPr="00D00475" w14:paraId="3F3FFBBC" w14:textId="77777777" w:rsidTr="000E22E0">
        <w:trPr>
          <w:trHeight w:val="300"/>
        </w:trPr>
        <w:tc>
          <w:tcPr>
            <w:tcW w:w="1266" w:type="dxa"/>
            <w:shd w:val="clear" w:color="auto" w:fill="auto"/>
            <w:noWrap/>
            <w:vAlign w:val="bottom"/>
            <w:hideMark/>
          </w:tcPr>
          <w:p w14:paraId="0A4D04B4"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5-10%</w:t>
            </w:r>
          </w:p>
        </w:tc>
        <w:tc>
          <w:tcPr>
            <w:tcW w:w="1161" w:type="dxa"/>
            <w:shd w:val="clear" w:color="auto" w:fill="auto"/>
            <w:noWrap/>
            <w:vAlign w:val="bottom"/>
            <w:hideMark/>
          </w:tcPr>
          <w:p w14:paraId="47BA27E9"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-0.40</w:t>
            </w:r>
          </w:p>
        </w:tc>
        <w:tc>
          <w:tcPr>
            <w:tcW w:w="1570" w:type="dxa"/>
            <w:shd w:val="clear" w:color="auto" w:fill="auto"/>
            <w:noWrap/>
            <w:vAlign w:val="bottom"/>
            <w:hideMark/>
          </w:tcPr>
          <w:p w14:paraId="4B99EA2A"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0.06</w:t>
            </w:r>
          </w:p>
        </w:tc>
        <w:tc>
          <w:tcPr>
            <w:tcW w:w="953" w:type="dxa"/>
            <w:shd w:val="clear" w:color="auto" w:fill="auto"/>
            <w:noWrap/>
            <w:vAlign w:val="bottom"/>
            <w:hideMark/>
          </w:tcPr>
          <w:p w14:paraId="6AB922E6"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0.00</w:t>
            </w:r>
          </w:p>
        </w:tc>
        <w:tc>
          <w:tcPr>
            <w:tcW w:w="2426" w:type="dxa"/>
            <w:shd w:val="clear" w:color="auto" w:fill="auto"/>
            <w:noWrap/>
            <w:vAlign w:val="bottom"/>
            <w:hideMark/>
          </w:tcPr>
          <w:p w14:paraId="5B7CC2FF"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(-0.51, -0.28)</w:t>
            </w:r>
          </w:p>
        </w:tc>
        <w:tc>
          <w:tcPr>
            <w:tcW w:w="661" w:type="dxa"/>
            <w:shd w:val="clear" w:color="auto" w:fill="auto"/>
            <w:noWrap/>
            <w:vAlign w:val="bottom"/>
            <w:hideMark/>
          </w:tcPr>
          <w:p w14:paraId="5C518AA0" w14:textId="77777777" w:rsidR="001B28FE" w:rsidRPr="00D00475" w:rsidRDefault="001B28FE" w:rsidP="000E22E0">
            <w:pPr>
              <w:spacing w:after="0" w:line="240" w:lineRule="auto"/>
              <w:jc w:val="right"/>
              <w:rPr>
                <w:rFonts w:ascii="Arial" w:eastAsia="Times New Roman" w:hAnsi="Arial" w:cs="Arial"/>
                <w:color w:val="000000"/>
                <w:sz w:val="20"/>
                <w:szCs w:val="20"/>
              </w:rPr>
            </w:pPr>
            <w:r w:rsidRPr="00D00475">
              <w:rPr>
                <w:rFonts w:ascii="Arial" w:eastAsia="Times New Roman" w:hAnsi="Arial" w:cs="Arial"/>
                <w:color w:val="000000"/>
                <w:sz w:val="20"/>
                <w:szCs w:val="20"/>
              </w:rPr>
              <w:t>616</w:t>
            </w:r>
          </w:p>
        </w:tc>
      </w:tr>
      <w:tr w:rsidR="001B28FE" w:rsidRPr="00D00475" w14:paraId="654D96BF" w14:textId="77777777" w:rsidTr="000E22E0">
        <w:trPr>
          <w:trHeight w:val="300"/>
        </w:trPr>
        <w:tc>
          <w:tcPr>
            <w:tcW w:w="1266" w:type="dxa"/>
            <w:shd w:val="clear" w:color="auto" w:fill="auto"/>
            <w:noWrap/>
            <w:vAlign w:val="bottom"/>
            <w:hideMark/>
          </w:tcPr>
          <w:p w14:paraId="14A92C72"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10-15%</w:t>
            </w:r>
          </w:p>
        </w:tc>
        <w:tc>
          <w:tcPr>
            <w:tcW w:w="1161" w:type="dxa"/>
            <w:shd w:val="clear" w:color="auto" w:fill="auto"/>
            <w:noWrap/>
            <w:vAlign w:val="bottom"/>
            <w:hideMark/>
          </w:tcPr>
          <w:p w14:paraId="391AE064"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-0.51</w:t>
            </w:r>
          </w:p>
        </w:tc>
        <w:tc>
          <w:tcPr>
            <w:tcW w:w="1570" w:type="dxa"/>
            <w:shd w:val="clear" w:color="auto" w:fill="auto"/>
            <w:noWrap/>
            <w:vAlign w:val="bottom"/>
            <w:hideMark/>
          </w:tcPr>
          <w:p w14:paraId="571F2109"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0.05</w:t>
            </w:r>
          </w:p>
        </w:tc>
        <w:tc>
          <w:tcPr>
            <w:tcW w:w="953" w:type="dxa"/>
            <w:shd w:val="clear" w:color="auto" w:fill="auto"/>
            <w:noWrap/>
            <w:vAlign w:val="bottom"/>
            <w:hideMark/>
          </w:tcPr>
          <w:p w14:paraId="604345C3"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0.00</w:t>
            </w:r>
          </w:p>
        </w:tc>
        <w:tc>
          <w:tcPr>
            <w:tcW w:w="2426" w:type="dxa"/>
            <w:shd w:val="clear" w:color="auto" w:fill="auto"/>
            <w:noWrap/>
            <w:vAlign w:val="bottom"/>
            <w:hideMark/>
          </w:tcPr>
          <w:p w14:paraId="0FD82E79"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(-0.60, -0.41)</w:t>
            </w:r>
          </w:p>
        </w:tc>
        <w:tc>
          <w:tcPr>
            <w:tcW w:w="661" w:type="dxa"/>
            <w:shd w:val="clear" w:color="auto" w:fill="auto"/>
            <w:noWrap/>
            <w:vAlign w:val="bottom"/>
            <w:hideMark/>
          </w:tcPr>
          <w:p w14:paraId="737B8942" w14:textId="77777777" w:rsidR="001B28FE" w:rsidRPr="00D00475" w:rsidRDefault="001B28FE" w:rsidP="000E22E0">
            <w:pPr>
              <w:spacing w:after="0" w:line="240" w:lineRule="auto"/>
              <w:jc w:val="right"/>
              <w:rPr>
                <w:rFonts w:ascii="Arial" w:eastAsia="Times New Roman" w:hAnsi="Arial" w:cs="Arial"/>
                <w:color w:val="000000"/>
                <w:sz w:val="20"/>
                <w:szCs w:val="20"/>
              </w:rPr>
            </w:pPr>
            <w:r w:rsidRPr="00D00475">
              <w:rPr>
                <w:rFonts w:ascii="Arial" w:eastAsia="Times New Roman" w:hAnsi="Arial" w:cs="Arial"/>
                <w:color w:val="000000"/>
                <w:sz w:val="20"/>
                <w:szCs w:val="20"/>
              </w:rPr>
              <w:t>933</w:t>
            </w:r>
          </w:p>
        </w:tc>
      </w:tr>
      <w:tr w:rsidR="001B28FE" w:rsidRPr="00D00475" w14:paraId="6F88D53F" w14:textId="77777777" w:rsidTr="000E22E0">
        <w:trPr>
          <w:trHeight w:val="300"/>
        </w:trPr>
        <w:tc>
          <w:tcPr>
            <w:tcW w:w="1266" w:type="dxa"/>
            <w:shd w:val="clear" w:color="auto" w:fill="auto"/>
            <w:noWrap/>
            <w:vAlign w:val="bottom"/>
            <w:hideMark/>
          </w:tcPr>
          <w:p w14:paraId="6C9CFB45"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15-20%</w:t>
            </w:r>
          </w:p>
        </w:tc>
        <w:tc>
          <w:tcPr>
            <w:tcW w:w="1161" w:type="dxa"/>
            <w:shd w:val="clear" w:color="auto" w:fill="auto"/>
            <w:noWrap/>
            <w:vAlign w:val="bottom"/>
            <w:hideMark/>
          </w:tcPr>
          <w:p w14:paraId="5D6076C2"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-0.75</w:t>
            </w:r>
          </w:p>
        </w:tc>
        <w:tc>
          <w:tcPr>
            <w:tcW w:w="1570" w:type="dxa"/>
            <w:shd w:val="clear" w:color="auto" w:fill="auto"/>
            <w:noWrap/>
            <w:vAlign w:val="bottom"/>
            <w:hideMark/>
          </w:tcPr>
          <w:p w14:paraId="58B8D182"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0.04</w:t>
            </w:r>
          </w:p>
        </w:tc>
        <w:tc>
          <w:tcPr>
            <w:tcW w:w="953" w:type="dxa"/>
            <w:shd w:val="clear" w:color="auto" w:fill="auto"/>
            <w:noWrap/>
            <w:vAlign w:val="bottom"/>
            <w:hideMark/>
          </w:tcPr>
          <w:p w14:paraId="454A4AAF"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0.00</w:t>
            </w:r>
          </w:p>
        </w:tc>
        <w:tc>
          <w:tcPr>
            <w:tcW w:w="2426" w:type="dxa"/>
            <w:shd w:val="clear" w:color="auto" w:fill="auto"/>
            <w:noWrap/>
            <w:vAlign w:val="bottom"/>
            <w:hideMark/>
          </w:tcPr>
          <w:p w14:paraId="4E1FE8FA"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(-0.85, -0.67)</w:t>
            </w:r>
          </w:p>
        </w:tc>
        <w:tc>
          <w:tcPr>
            <w:tcW w:w="661" w:type="dxa"/>
            <w:shd w:val="clear" w:color="auto" w:fill="auto"/>
            <w:noWrap/>
            <w:vAlign w:val="bottom"/>
            <w:hideMark/>
          </w:tcPr>
          <w:p w14:paraId="39398AA6" w14:textId="77777777" w:rsidR="001B28FE" w:rsidRPr="00D00475" w:rsidRDefault="001B28FE" w:rsidP="000E22E0">
            <w:pPr>
              <w:spacing w:after="0" w:line="240" w:lineRule="auto"/>
              <w:jc w:val="right"/>
              <w:rPr>
                <w:rFonts w:ascii="Arial" w:eastAsia="Times New Roman" w:hAnsi="Arial" w:cs="Arial"/>
                <w:color w:val="000000"/>
                <w:sz w:val="20"/>
                <w:szCs w:val="20"/>
              </w:rPr>
            </w:pPr>
            <w:r w:rsidRPr="00D00475">
              <w:rPr>
                <w:rFonts w:ascii="Arial" w:eastAsia="Times New Roman" w:hAnsi="Arial" w:cs="Arial"/>
                <w:color w:val="000000"/>
                <w:sz w:val="20"/>
                <w:szCs w:val="20"/>
              </w:rPr>
              <w:t>1030</w:t>
            </w:r>
          </w:p>
        </w:tc>
      </w:tr>
      <w:tr w:rsidR="001B28FE" w:rsidRPr="00D00475" w14:paraId="35F1B37B" w14:textId="77777777" w:rsidTr="000E22E0">
        <w:trPr>
          <w:trHeight w:val="300"/>
        </w:trPr>
        <w:tc>
          <w:tcPr>
            <w:tcW w:w="1266" w:type="dxa"/>
            <w:shd w:val="clear" w:color="auto" w:fill="auto"/>
            <w:noWrap/>
            <w:vAlign w:val="bottom"/>
            <w:hideMark/>
          </w:tcPr>
          <w:p w14:paraId="6F69D502"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&gt; 20%</w:t>
            </w:r>
          </w:p>
        </w:tc>
        <w:tc>
          <w:tcPr>
            <w:tcW w:w="1161" w:type="dxa"/>
            <w:shd w:val="clear" w:color="auto" w:fill="auto"/>
            <w:noWrap/>
            <w:vAlign w:val="bottom"/>
            <w:hideMark/>
          </w:tcPr>
          <w:p w14:paraId="4A1DA922"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-1.13</w:t>
            </w:r>
          </w:p>
        </w:tc>
        <w:tc>
          <w:tcPr>
            <w:tcW w:w="1570" w:type="dxa"/>
            <w:shd w:val="clear" w:color="auto" w:fill="auto"/>
            <w:noWrap/>
            <w:vAlign w:val="bottom"/>
            <w:hideMark/>
          </w:tcPr>
          <w:p w14:paraId="6EEE5D7B"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0.03</w:t>
            </w:r>
          </w:p>
        </w:tc>
        <w:tc>
          <w:tcPr>
            <w:tcW w:w="953" w:type="dxa"/>
            <w:shd w:val="clear" w:color="auto" w:fill="auto"/>
            <w:noWrap/>
            <w:vAlign w:val="bottom"/>
            <w:hideMark/>
          </w:tcPr>
          <w:p w14:paraId="4985399C" w14:textId="77777777" w:rsidR="001B28FE" w:rsidRPr="00D00475" w:rsidRDefault="001B28FE" w:rsidP="000E22E0">
            <w:pPr>
              <w:spacing w:after="0" w:line="240" w:lineRule="auto"/>
              <w:rPr>
                <w:rFonts w:ascii="Arial" w:eastAsia="Times New Roman" w:hAnsi="Arial" w:cs="Arial"/>
                <w:sz w:val="20"/>
                <w:szCs w:val="20"/>
              </w:rPr>
            </w:pPr>
            <w:r w:rsidRPr="00D00475">
              <w:rPr>
                <w:rFonts w:ascii="Arial" w:eastAsia="Times New Roman" w:hAnsi="Arial" w:cs="Arial"/>
                <w:sz w:val="20"/>
                <w:szCs w:val="20"/>
              </w:rPr>
              <w:t>0.00</w:t>
            </w:r>
          </w:p>
        </w:tc>
        <w:tc>
          <w:tcPr>
            <w:tcW w:w="2426" w:type="dxa"/>
            <w:shd w:val="clear" w:color="auto" w:fill="auto"/>
            <w:noWrap/>
            <w:vAlign w:val="bottom"/>
            <w:hideMark/>
          </w:tcPr>
          <w:p w14:paraId="16FFEE51" w14:textId="77777777" w:rsidR="001B28FE" w:rsidRPr="00D00475" w:rsidRDefault="001B28FE" w:rsidP="000E22E0">
            <w:pPr>
              <w:spacing w:after="0" w:line="240" w:lineRule="auto"/>
              <w:rPr>
                <w:rFonts w:ascii="Arial" w:eastAsia="Times New Roman" w:hAnsi="Arial" w:cs="Arial"/>
                <w:color w:val="000000"/>
                <w:sz w:val="20"/>
                <w:szCs w:val="20"/>
              </w:rPr>
            </w:pPr>
            <w:r w:rsidRPr="00D00475">
              <w:rPr>
                <w:rFonts w:ascii="Arial" w:eastAsia="Times New Roman" w:hAnsi="Arial" w:cs="Arial"/>
                <w:color w:val="000000"/>
                <w:sz w:val="20"/>
                <w:szCs w:val="20"/>
              </w:rPr>
              <w:t>(-1.18, -1.08)</w:t>
            </w:r>
          </w:p>
        </w:tc>
        <w:tc>
          <w:tcPr>
            <w:tcW w:w="661" w:type="dxa"/>
            <w:shd w:val="clear" w:color="auto" w:fill="auto"/>
            <w:noWrap/>
            <w:vAlign w:val="bottom"/>
            <w:hideMark/>
          </w:tcPr>
          <w:p w14:paraId="73664854" w14:textId="77777777" w:rsidR="001B28FE" w:rsidRPr="00D00475" w:rsidRDefault="001B28FE" w:rsidP="000E22E0">
            <w:pPr>
              <w:spacing w:after="0" w:line="240" w:lineRule="auto"/>
              <w:jc w:val="right"/>
              <w:rPr>
                <w:rFonts w:ascii="Arial" w:eastAsia="Times New Roman" w:hAnsi="Arial" w:cs="Arial"/>
                <w:color w:val="000000"/>
                <w:sz w:val="20"/>
                <w:szCs w:val="20"/>
              </w:rPr>
            </w:pPr>
            <w:r w:rsidRPr="00D00475">
              <w:rPr>
                <w:rFonts w:ascii="Arial" w:eastAsia="Times New Roman" w:hAnsi="Arial" w:cs="Arial"/>
                <w:color w:val="000000"/>
                <w:sz w:val="20"/>
                <w:szCs w:val="20"/>
              </w:rPr>
              <w:t>2928</w:t>
            </w:r>
          </w:p>
        </w:tc>
      </w:tr>
      <w:tr w:rsidR="001B28FE" w:rsidRPr="00D00475" w14:paraId="7079F79C" w14:textId="77777777" w:rsidTr="000E22E0">
        <w:trPr>
          <w:trHeight w:val="720"/>
        </w:trPr>
        <w:tc>
          <w:tcPr>
            <w:tcW w:w="8037" w:type="dxa"/>
            <w:gridSpan w:val="6"/>
            <w:shd w:val="clear" w:color="auto" w:fill="auto"/>
            <w:hideMark/>
          </w:tcPr>
          <w:p w14:paraId="147F3DFE" w14:textId="77777777" w:rsidR="001B28FE" w:rsidRPr="00D00475" w:rsidRDefault="001B28FE" w:rsidP="000E22E0">
            <w:pPr>
              <w:spacing w:after="0" w:line="240" w:lineRule="auto"/>
              <w:rPr>
                <w:rFonts w:ascii="Arial" w:eastAsia="Times New Roman" w:hAnsi="Arial" w:cs="Arial"/>
                <w:color w:val="000000"/>
                <w:sz w:val="16"/>
                <w:szCs w:val="16"/>
              </w:rPr>
            </w:pPr>
            <w:r w:rsidRPr="00D00475">
              <w:rPr>
                <w:rFonts w:ascii="Arial" w:eastAsia="Times New Roman" w:hAnsi="Arial" w:cs="Arial"/>
                <w:color w:val="000000"/>
                <w:sz w:val="16"/>
                <w:szCs w:val="16"/>
              </w:rPr>
              <w:t xml:space="preserve">Results from ordinary least squares (OLS) regression with individual fixed effects, with dependent variable as the change in HbA1c after surgery. The percent change in weight was measured from the time of surgery to the time at which the last HbA1c measurement. </w:t>
            </w:r>
          </w:p>
        </w:tc>
      </w:tr>
    </w:tbl>
    <w:p w14:paraId="71E49E07" w14:textId="77777777" w:rsidR="00D00475" w:rsidRDefault="00D00475" w:rsidP="00044BC7">
      <w:pPr>
        <w:pStyle w:val="PlainText"/>
        <w:rPr>
          <w:rFonts w:ascii="Arial" w:hAnsi="Arial" w:cs="Arial"/>
          <w:b/>
          <w:bCs/>
          <w:sz w:val="20"/>
          <w:szCs w:val="20"/>
        </w:rPr>
      </w:pPr>
    </w:p>
    <w:sectPr w:rsidR="00D00475" w:rsidSect="003A5B17">
      <w:footerReference w:type="default" r:id="rId18"/>
      <w:type w:val="continuous"/>
      <w:pgSz w:w="12240" w:h="15840"/>
      <w:pgMar w:top="720" w:right="1008"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313E4" w14:textId="77777777" w:rsidR="00CE25D4" w:rsidRDefault="00CE25D4" w:rsidP="006F192F">
      <w:pPr>
        <w:spacing w:after="0" w:line="240" w:lineRule="auto"/>
      </w:pPr>
      <w:r>
        <w:separator/>
      </w:r>
    </w:p>
  </w:endnote>
  <w:endnote w:type="continuationSeparator" w:id="0">
    <w:p w14:paraId="21D8218D" w14:textId="77777777" w:rsidR="00CE25D4" w:rsidRDefault="00CE25D4" w:rsidP="006F1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3802258"/>
      <w:docPartObj>
        <w:docPartGallery w:val="Page Numbers (Bottom of Page)"/>
        <w:docPartUnique/>
      </w:docPartObj>
    </w:sdtPr>
    <w:sdtEndPr>
      <w:rPr>
        <w:rFonts w:ascii="Arial" w:hAnsi="Arial" w:cs="Arial"/>
        <w:noProof/>
      </w:rPr>
    </w:sdtEndPr>
    <w:sdtContent>
      <w:p w14:paraId="3AEDEC10" w14:textId="304E0749" w:rsidR="0026405B" w:rsidRPr="006F192F" w:rsidRDefault="0026405B">
        <w:pPr>
          <w:pStyle w:val="Footer"/>
          <w:jc w:val="right"/>
          <w:rPr>
            <w:rFonts w:ascii="Arial" w:hAnsi="Arial" w:cs="Arial"/>
          </w:rPr>
        </w:pPr>
        <w:r w:rsidRPr="006F192F">
          <w:rPr>
            <w:rFonts w:ascii="Arial" w:hAnsi="Arial" w:cs="Arial"/>
          </w:rPr>
          <w:fldChar w:fldCharType="begin"/>
        </w:r>
        <w:r w:rsidRPr="006F192F">
          <w:rPr>
            <w:rFonts w:ascii="Arial" w:hAnsi="Arial" w:cs="Arial"/>
          </w:rPr>
          <w:instrText xml:space="preserve"> PAGE   \* MERGEFORMAT </w:instrText>
        </w:r>
        <w:r w:rsidRPr="006F192F">
          <w:rPr>
            <w:rFonts w:ascii="Arial" w:hAnsi="Arial" w:cs="Arial"/>
          </w:rPr>
          <w:fldChar w:fldCharType="separate"/>
        </w:r>
        <w:r w:rsidRPr="006F192F">
          <w:rPr>
            <w:rFonts w:ascii="Arial" w:hAnsi="Arial" w:cs="Arial"/>
            <w:noProof/>
          </w:rPr>
          <w:t>2</w:t>
        </w:r>
        <w:r w:rsidRPr="006F192F">
          <w:rPr>
            <w:rFonts w:ascii="Arial" w:hAnsi="Arial" w:cs="Arial"/>
            <w:noProof/>
          </w:rPr>
          <w:fldChar w:fldCharType="end"/>
        </w:r>
      </w:p>
    </w:sdtContent>
  </w:sdt>
  <w:p w14:paraId="1F1ED5DD" w14:textId="77777777" w:rsidR="0026405B" w:rsidRDefault="00264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3CE3A" w14:textId="77777777" w:rsidR="00CE25D4" w:rsidRDefault="00CE25D4" w:rsidP="006F192F">
      <w:pPr>
        <w:spacing w:after="0" w:line="240" w:lineRule="auto"/>
      </w:pPr>
      <w:r>
        <w:separator/>
      </w:r>
    </w:p>
  </w:footnote>
  <w:footnote w:type="continuationSeparator" w:id="0">
    <w:p w14:paraId="7D04F27C" w14:textId="77777777" w:rsidR="00CE25D4" w:rsidRDefault="00CE25D4" w:rsidP="006F19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B7BB8"/>
    <w:multiLevelType w:val="hybridMultilevel"/>
    <w:tmpl w:val="16DC5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70861"/>
    <w:multiLevelType w:val="hybridMultilevel"/>
    <w:tmpl w:val="FB28CEAA"/>
    <w:lvl w:ilvl="0" w:tplc="0D7CC5E2">
      <w:start w:val="3"/>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792873"/>
    <w:multiLevelType w:val="multilevel"/>
    <w:tmpl w:val="D6483A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F35070"/>
    <w:multiLevelType w:val="hybridMultilevel"/>
    <w:tmpl w:val="582E4110"/>
    <w:lvl w:ilvl="0" w:tplc="61128AB0">
      <w:start w:val="1"/>
      <w:numFmt w:val="decimal"/>
      <w:lvlText w:val="%1."/>
      <w:lvlJc w:val="left"/>
      <w:pPr>
        <w:ind w:left="720" w:hanging="360"/>
      </w:pPr>
      <w:rPr>
        <w:rFonts w:ascii="Arial" w:hAnsi="Arial" w:cs="Arial"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2E69E0"/>
    <w:multiLevelType w:val="multilevel"/>
    <w:tmpl w:val="ED0810AC"/>
    <w:lvl w:ilvl="0">
      <w:start w:val="1"/>
      <w:numFmt w:val="decimal"/>
      <w:lvlText w:val="%1."/>
      <w:lvlJc w:val="left"/>
      <w:pPr>
        <w:tabs>
          <w:tab w:val="num" w:pos="720"/>
        </w:tabs>
        <w:ind w:left="720" w:hanging="360"/>
      </w:pPr>
      <w:rPr>
        <w:rFonts w:ascii="Calibri" w:eastAsia="Times New Roman" w:hAnsi="Calibri" w:cs="Calibri"/>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534E2B95"/>
    <w:multiLevelType w:val="hybridMultilevel"/>
    <w:tmpl w:val="7CDEDDFC"/>
    <w:lvl w:ilvl="0" w:tplc="0D7CC5E2">
      <w:start w:val="3"/>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AD4505"/>
    <w:multiLevelType w:val="multilevel"/>
    <w:tmpl w:val="2D8E2DA2"/>
    <w:lvl w:ilvl="0">
      <w:start w:val="1"/>
      <w:numFmt w:val="decimal"/>
      <w:lvlText w:val="%1."/>
      <w:lvlJc w:val="left"/>
      <w:pPr>
        <w:tabs>
          <w:tab w:val="num" w:pos="720"/>
        </w:tabs>
        <w:ind w:left="720" w:hanging="360"/>
      </w:pPr>
      <w:rPr>
        <w:rFonts w:ascii="Calibri" w:eastAsia="Times New Roman" w:hAnsi="Calibri" w:cs="Calibri"/>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
    <w:lvlOverride w:ilvl="0">
      <w:startOverride w:val="1"/>
    </w:lvlOverride>
  </w:num>
  <w:num w:numId="2">
    <w:abstractNumId w:val="2"/>
    <w:lvlOverride w:ilvl="0"/>
    <w:lvlOverride w:ilvl="1">
      <w:startOverride w:val="1"/>
    </w:lvlOverride>
  </w:num>
  <w:num w:numId="3">
    <w:abstractNumId w:val="2"/>
    <w:lvlOverride w:ilvl="0"/>
    <w:lvlOverride w:ilvl="1"/>
    <w:lvlOverride w:ilvl="2">
      <w:startOverride w:val="1"/>
    </w:lvlOverride>
  </w:num>
  <w:num w:numId="4">
    <w:abstractNumId w:val="2"/>
    <w:lvlOverride w:ilvl="0"/>
    <w:lvlOverride w:ilvl="1"/>
    <w:lvlOverride w:ilvl="2">
      <w:startOverride w:val="1"/>
    </w:lvlOverride>
  </w:num>
  <w:num w:numId="5">
    <w:abstractNumId w:val="2"/>
    <w:lvlOverride w:ilvl="0"/>
    <w:lvlOverride w:ilvl="1"/>
    <w:lvlOverride w:ilvl="2"/>
    <w:lvlOverride w:ilvl="3">
      <w:startOverride w:val="1"/>
    </w:lvlOverride>
  </w:num>
  <w:num w:numId="6">
    <w:abstractNumId w:val="2"/>
    <w:lvlOverride w:ilvl="0"/>
    <w:lvlOverride w:ilvl="1"/>
    <w:lvlOverride w:ilvl="2"/>
    <w:lvlOverride w:ilvl="3">
      <w:startOverride w:val="1"/>
    </w:lvlOverride>
  </w:num>
  <w:num w:numId="7">
    <w:abstractNumId w:val="2"/>
    <w:lvlOverride w:ilvl="0"/>
    <w:lvlOverride w:ilvl="1"/>
    <w:lvlOverride w:ilvl="2"/>
    <w:lvlOverride w:ilvl="3">
      <w:startOverride w:val="1"/>
    </w:lvlOverride>
  </w:num>
  <w:num w:numId="8">
    <w:abstractNumId w:val="2"/>
    <w:lvlOverride w:ilvl="0"/>
    <w:lvlOverride w:ilvl="1"/>
    <w:lvlOverride w:ilvl="2"/>
    <w:lvlOverride w:ilvl="3">
      <w:startOverride w:val="2"/>
    </w:lvlOverride>
  </w:num>
  <w:num w:numId="9">
    <w:abstractNumId w:val="4"/>
  </w:num>
  <w:num w:numId="10">
    <w:abstractNumId w:val="0"/>
  </w:num>
  <w:num w:numId="11">
    <w:abstractNumId w:val="6"/>
  </w:num>
  <w:num w:numId="12">
    <w:abstractNumId w:val="1"/>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739"/>
    <w:rsid w:val="000032ED"/>
    <w:rsid w:val="00016CC2"/>
    <w:rsid w:val="00017AAE"/>
    <w:rsid w:val="00044BC7"/>
    <w:rsid w:val="00050608"/>
    <w:rsid w:val="0006104A"/>
    <w:rsid w:val="000C0705"/>
    <w:rsid w:val="000C72B9"/>
    <w:rsid w:val="000E3320"/>
    <w:rsid w:val="000E3E69"/>
    <w:rsid w:val="000E5029"/>
    <w:rsid w:val="000F4223"/>
    <w:rsid w:val="00105821"/>
    <w:rsid w:val="00107744"/>
    <w:rsid w:val="0013296D"/>
    <w:rsid w:val="0015530B"/>
    <w:rsid w:val="001620C9"/>
    <w:rsid w:val="00180329"/>
    <w:rsid w:val="00190EE2"/>
    <w:rsid w:val="0019405D"/>
    <w:rsid w:val="001B28FE"/>
    <w:rsid w:val="001B3C89"/>
    <w:rsid w:val="001C3D66"/>
    <w:rsid w:val="001C74B3"/>
    <w:rsid w:val="001D5614"/>
    <w:rsid w:val="002346A9"/>
    <w:rsid w:val="00246675"/>
    <w:rsid w:val="0026405B"/>
    <w:rsid w:val="002706D3"/>
    <w:rsid w:val="00280EC3"/>
    <w:rsid w:val="002871A9"/>
    <w:rsid w:val="002903AF"/>
    <w:rsid w:val="002C7BCD"/>
    <w:rsid w:val="002D21A2"/>
    <w:rsid w:val="002D6163"/>
    <w:rsid w:val="002D769E"/>
    <w:rsid w:val="002E6355"/>
    <w:rsid w:val="00302B84"/>
    <w:rsid w:val="003179DB"/>
    <w:rsid w:val="00351B33"/>
    <w:rsid w:val="00363EC3"/>
    <w:rsid w:val="00374E85"/>
    <w:rsid w:val="0037553E"/>
    <w:rsid w:val="00384E35"/>
    <w:rsid w:val="00390F1B"/>
    <w:rsid w:val="00396466"/>
    <w:rsid w:val="003A5B17"/>
    <w:rsid w:val="00427A2C"/>
    <w:rsid w:val="0045760E"/>
    <w:rsid w:val="0048392E"/>
    <w:rsid w:val="00486240"/>
    <w:rsid w:val="004A2A7D"/>
    <w:rsid w:val="004E1AD3"/>
    <w:rsid w:val="00507C0C"/>
    <w:rsid w:val="005121D1"/>
    <w:rsid w:val="00531A8F"/>
    <w:rsid w:val="00536018"/>
    <w:rsid w:val="00591B04"/>
    <w:rsid w:val="00595A05"/>
    <w:rsid w:val="005A04A8"/>
    <w:rsid w:val="005A4F30"/>
    <w:rsid w:val="005C0A98"/>
    <w:rsid w:val="005C3B73"/>
    <w:rsid w:val="005C440D"/>
    <w:rsid w:val="00640AAC"/>
    <w:rsid w:val="00645546"/>
    <w:rsid w:val="006629F2"/>
    <w:rsid w:val="006674FF"/>
    <w:rsid w:val="0067485F"/>
    <w:rsid w:val="00692072"/>
    <w:rsid w:val="006B17BC"/>
    <w:rsid w:val="006E1369"/>
    <w:rsid w:val="006E70F1"/>
    <w:rsid w:val="006F192F"/>
    <w:rsid w:val="00743CFF"/>
    <w:rsid w:val="007456F3"/>
    <w:rsid w:val="00776166"/>
    <w:rsid w:val="00777E8E"/>
    <w:rsid w:val="00782102"/>
    <w:rsid w:val="00786C12"/>
    <w:rsid w:val="00790854"/>
    <w:rsid w:val="007A02CD"/>
    <w:rsid w:val="007C089B"/>
    <w:rsid w:val="007C7277"/>
    <w:rsid w:val="00802BB6"/>
    <w:rsid w:val="00802FFD"/>
    <w:rsid w:val="00820E71"/>
    <w:rsid w:val="00844A64"/>
    <w:rsid w:val="008472C5"/>
    <w:rsid w:val="0086424E"/>
    <w:rsid w:val="00882EC3"/>
    <w:rsid w:val="008A1F6C"/>
    <w:rsid w:val="008D7717"/>
    <w:rsid w:val="008E043D"/>
    <w:rsid w:val="008E72E2"/>
    <w:rsid w:val="009068C8"/>
    <w:rsid w:val="009420DE"/>
    <w:rsid w:val="00947FC5"/>
    <w:rsid w:val="009700C7"/>
    <w:rsid w:val="009A303F"/>
    <w:rsid w:val="009A32D0"/>
    <w:rsid w:val="009B0714"/>
    <w:rsid w:val="009D7B36"/>
    <w:rsid w:val="00A349AF"/>
    <w:rsid w:val="00A37DC5"/>
    <w:rsid w:val="00A44977"/>
    <w:rsid w:val="00A6296D"/>
    <w:rsid w:val="00A67DD1"/>
    <w:rsid w:val="00A91454"/>
    <w:rsid w:val="00AF214B"/>
    <w:rsid w:val="00AF6F17"/>
    <w:rsid w:val="00B11D21"/>
    <w:rsid w:val="00B45CD6"/>
    <w:rsid w:val="00B6099E"/>
    <w:rsid w:val="00B77F1C"/>
    <w:rsid w:val="00B966A6"/>
    <w:rsid w:val="00B96AD6"/>
    <w:rsid w:val="00BA54D0"/>
    <w:rsid w:val="00BA7593"/>
    <w:rsid w:val="00BC04B2"/>
    <w:rsid w:val="00BD67F5"/>
    <w:rsid w:val="00BE7C7E"/>
    <w:rsid w:val="00BF0E88"/>
    <w:rsid w:val="00C05B0F"/>
    <w:rsid w:val="00C17AA8"/>
    <w:rsid w:val="00C2190A"/>
    <w:rsid w:val="00C350C1"/>
    <w:rsid w:val="00C37A6B"/>
    <w:rsid w:val="00C42915"/>
    <w:rsid w:val="00C50A48"/>
    <w:rsid w:val="00C541D2"/>
    <w:rsid w:val="00C865C5"/>
    <w:rsid w:val="00CB098F"/>
    <w:rsid w:val="00CD0022"/>
    <w:rsid w:val="00CD1793"/>
    <w:rsid w:val="00CE25D4"/>
    <w:rsid w:val="00CE7300"/>
    <w:rsid w:val="00D00475"/>
    <w:rsid w:val="00D059B7"/>
    <w:rsid w:val="00D36CD0"/>
    <w:rsid w:val="00D402B4"/>
    <w:rsid w:val="00D41739"/>
    <w:rsid w:val="00D61393"/>
    <w:rsid w:val="00D625BB"/>
    <w:rsid w:val="00D715A2"/>
    <w:rsid w:val="00D81DA0"/>
    <w:rsid w:val="00DE0145"/>
    <w:rsid w:val="00DE53EB"/>
    <w:rsid w:val="00DE5DE4"/>
    <w:rsid w:val="00E14522"/>
    <w:rsid w:val="00E14CB2"/>
    <w:rsid w:val="00E36723"/>
    <w:rsid w:val="00E50229"/>
    <w:rsid w:val="00E53F28"/>
    <w:rsid w:val="00E56B21"/>
    <w:rsid w:val="00E651C7"/>
    <w:rsid w:val="00E914E9"/>
    <w:rsid w:val="00ED7735"/>
    <w:rsid w:val="00EF4257"/>
    <w:rsid w:val="00EF5640"/>
    <w:rsid w:val="00F26207"/>
    <w:rsid w:val="00F33A76"/>
    <w:rsid w:val="00F6168A"/>
    <w:rsid w:val="00F6434C"/>
    <w:rsid w:val="00F74923"/>
    <w:rsid w:val="00F82A73"/>
    <w:rsid w:val="00FB608A"/>
    <w:rsid w:val="00FB69B1"/>
    <w:rsid w:val="00FB72FA"/>
    <w:rsid w:val="00FC4851"/>
    <w:rsid w:val="00FF3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F67FF"/>
  <w15:chartTrackingRefBased/>
  <w15:docId w15:val="{D76D2C91-A6B3-48E4-9563-BA7D8A342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2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296D"/>
    <w:pPr>
      <w:spacing w:after="0" w:line="240" w:lineRule="auto"/>
    </w:pPr>
  </w:style>
  <w:style w:type="character" w:styleId="CommentReference">
    <w:name w:val="annotation reference"/>
    <w:basedOn w:val="DefaultParagraphFont"/>
    <w:uiPriority w:val="99"/>
    <w:semiHidden/>
    <w:unhideWhenUsed/>
    <w:rsid w:val="002E6355"/>
    <w:rPr>
      <w:sz w:val="16"/>
      <w:szCs w:val="16"/>
    </w:rPr>
  </w:style>
  <w:style w:type="paragraph" w:styleId="CommentText">
    <w:name w:val="annotation text"/>
    <w:basedOn w:val="Normal"/>
    <w:link w:val="CommentTextChar"/>
    <w:uiPriority w:val="99"/>
    <w:unhideWhenUsed/>
    <w:rsid w:val="002E6355"/>
    <w:pPr>
      <w:spacing w:line="240" w:lineRule="auto"/>
    </w:pPr>
    <w:rPr>
      <w:sz w:val="20"/>
      <w:szCs w:val="20"/>
    </w:rPr>
  </w:style>
  <w:style w:type="character" w:customStyle="1" w:styleId="CommentTextChar">
    <w:name w:val="Comment Text Char"/>
    <w:basedOn w:val="DefaultParagraphFont"/>
    <w:link w:val="CommentText"/>
    <w:uiPriority w:val="99"/>
    <w:rsid w:val="002E6355"/>
    <w:rPr>
      <w:sz w:val="20"/>
      <w:szCs w:val="20"/>
    </w:rPr>
  </w:style>
  <w:style w:type="paragraph" w:styleId="CommentSubject">
    <w:name w:val="annotation subject"/>
    <w:basedOn w:val="CommentText"/>
    <w:next w:val="CommentText"/>
    <w:link w:val="CommentSubjectChar"/>
    <w:uiPriority w:val="99"/>
    <w:semiHidden/>
    <w:unhideWhenUsed/>
    <w:rsid w:val="002E6355"/>
    <w:rPr>
      <w:b/>
      <w:bCs/>
    </w:rPr>
  </w:style>
  <w:style w:type="character" w:customStyle="1" w:styleId="CommentSubjectChar">
    <w:name w:val="Comment Subject Char"/>
    <w:basedOn w:val="CommentTextChar"/>
    <w:link w:val="CommentSubject"/>
    <w:uiPriority w:val="99"/>
    <w:semiHidden/>
    <w:rsid w:val="002E6355"/>
    <w:rPr>
      <w:b/>
      <w:bCs/>
      <w:sz w:val="20"/>
      <w:szCs w:val="20"/>
    </w:rPr>
  </w:style>
  <w:style w:type="paragraph" w:styleId="BalloonText">
    <w:name w:val="Balloon Text"/>
    <w:basedOn w:val="Normal"/>
    <w:link w:val="BalloonTextChar"/>
    <w:uiPriority w:val="99"/>
    <w:semiHidden/>
    <w:unhideWhenUsed/>
    <w:rsid w:val="002E63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355"/>
    <w:rPr>
      <w:rFonts w:ascii="Segoe UI" w:hAnsi="Segoe UI" w:cs="Segoe UI"/>
      <w:sz w:val="18"/>
      <w:szCs w:val="18"/>
    </w:rPr>
  </w:style>
  <w:style w:type="paragraph" w:styleId="ListParagraph">
    <w:name w:val="List Paragraph"/>
    <w:basedOn w:val="Normal"/>
    <w:uiPriority w:val="34"/>
    <w:qFormat/>
    <w:rsid w:val="00EF4257"/>
    <w:pPr>
      <w:ind w:left="720"/>
      <w:contextualSpacing/>
    </w:pPr>
  </w:style>
  <w:style w:type="paragraph" w:styleId="NormalWeb">
    <w:name w:val="Normal (Web)"/>
    <w:basedOn w:val="Normal"/>
    <w:uiPriority w:val="99"/>
    <w:unhideWhenUsed/>
    <w:rsid w:val="00E367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4923"/>
    <w:rPr>
      <w:color w:val="0000FF"/>
      <w:u w:val="single"/>
    </w:rPr>
  </w:style>
  <w:style w:type="paragraph" w:styleId="Header">
    <w:name w:val="header"/>
    <w:basedOn w:val="Normal"/>
    <w:link w:val="HeaderChar"/>
    <w:uiPriority w:val="99"/>
    <w:unhideWhenUsed/>
    <w:rsid w:val="006F1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92F"/>
  </w:style>
  <w:style w:type="paragraph" w:styleId="Footer">
    <w:name w:val="footer"/>
    <w:basedOn w:val="Normal"/>
    <w:link w:val="FooterChar"/>
    <w:uiPriority w:val="99"/>
    <w:unhideWhenUsed/>
    <w:rsid w:val="006F1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92F"/>
  </w:style>
  <w:style w:type="paragraph" w:styleId="PlainText">
    <w:name w:val="Plain Text"/>
    <w:basedOn w:val="Normal"/>
    <w:link w:val="PlainTextChar"/>
    <w:uiPriority w:val="99"/>
    <w:unhideWhenUsed/>
    <w:rsid w:val="009068C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068C8"/>
    <w:rPr>
      <w:rFonts w:ascii="Calibri" w:hAnsi="Calibri"/>
      <w:szCs w:val="21"/>
    </w:rPr>
  </w:style>
  <w:style w:type="character" w:styleId="UnresolvedMention">
    <w:name w:val="Unresolved Mention"/>
    <w:basedOn w:val="DefaultParagraphFont"/>
    <w:uiPriority w:val="99"/>
    <w:semiHidden/>
    <w:unhideWhenUsed/>
    <w:rsid w:val="00FF31E8"/>
    <w:rPr>
      <w:color w:val="605E5C"/>
      <w:shd w:val="clear" w:color="auto" w:fill="E1DFDD"/>
    </w:rPr>
  </w:style>
  <w:style w:type="character" w:styleId="Emphasis">
    <w:name w:val="Emphasis"/>
    <w:basedOn w:val="DefaultParagraphFont"/>
    <w:uiPriority w:val="20"/>
    <w:qFormat/>
    <w:rsid w:val="00777E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2950">
      <w:bodyDiv w:val="1"/>
      <w:marLeft w:val="0"/>
      <w:marRight w:val="0"/>
      <w:marTop w:val="0"/>
      <w:marBottom w:val="0"/>
      <w:divBdr>
        <w:top w:val="none" w:sz="0" w:space="0" w:color="auto"/>
        <w:left w:val="none" w:sz="0" w:space="0" w:color="auto"/>
        <w:bottom w:val="none" w:sz="0" w:space="0" w:color="auto"/>
        <w:right w:val="none" w:sz="0" w:space="0" w:color="auto"/>
      </w:divBdr>
    </w:div>
    <w:div w:id="199246101">
      <w:bodyDiv w:val="1"/>
      <w:marLeft w:val="0"/>
      <w:marRight w:val="0"/>
      <w:marTop w:val="0"/>
      <w:marBottom w:val="0"/>
      <w:divBdr>
        <w:top w:val="none" w:sz="0" w:space="0" w:color="auto"/>
        <w:left w:val="none" w:sz="0" w:space="0" w:color="auto"/>
        <w:bottom w:val="none" w:sz="0" w:space="0" w:color="auto"/>
        <w:right w:val="none" w:sz="0" w:space="0" w:color="auto"/>
      </w:divBdr>
    </w:div>
    <w:div w:id="371350617">
      <w:bodyDiv w:val="1"/>
      <w:marLeft w:val="0"/>
      <w:marRight w:val="0"/>
      <w:marTop w:val="0"/>
      <w:marBottom w:val="0"/>
      <w:divBdr>
        <w:top w:val="none" w:sz="0" w:space="0" w:color="auto"/>
        <w:left w:val="none" w:sz="0" w:space="0" w:color="auto"/>
        <w:bottom w:val="none" w:sz="0" w:space="0" w:color="auto"/>
        <w:right w:val="none" w:sz="0" w:space="0" w:color="auto"/>
      </w:divBdr>
    </w:div>
    <w:div w:id="482627295">
      <w:bodyDiv w:val="1"/>
      <w:marLeft w:val="0"/>
      <w:marRight w:val="0"/>
      <w:marTop w:val="0"/>
      <w:marBottom w:val="0"/>
      <w:divBdr>
        <w:top w:val="none" w:sz="0" w:space="0" w:color="auto"/>
        <w:left w:val="none" w:sz="0" w:space="0" w:color="auto"/>
        <w:bottom w:val="none" w:sz="0" w:space="0" w:color="auto"/>
        <w:right w:val="none" w:sz="0" w:space="0" w:color="auto"/>
      </w:divBdr>
    </w:div>
    <w:div w:id="522550736">
      <w:bodyDiv w:val="1"/>
      <w:marLeft w:val="0"/>
      <w:marRight w:val="0"/>
      <w:marTop w:val="0"/>
      <w:marBottom w:val="0"/>
      <w:divBdr>
        <w:top w:val="none" w:sz="0" w:space="0" w:color="auto"/>
        <w:left w:val="none" w:sz="0" w:space="0" w:color="auto"/>
        <w:bottom w:val="none" w:sz="0" w:space="0" w:color="auto"/>
        <w:right w:val="none" w:sz="0" w:space="0" w:color="auto"/>
      </w:divBdr>
    </w:div>
    <w:div w:id="635918312">
      <w:bodyDiv w:val="1"/>
      <w:marLeft w:val="0"/>
      <w:marRight w:val="0"/>
      <w:marTop w:val="0"/>
      <w:marBottom w:val="0"/>
      <w:divBdr>
        <w:top w:val="none" w:sz="0" w:space="0" w:color="auto"/>
        <w:left w:val="none" w:sz="0" w:space="0" w:color="auto"/>
        <w:bottom w:val="none" w:sz="0" w:space="0" w:color="auto"/>
        <w:right w:val="none" w:sz="0" w:space="0" w:color="auto"/>
      </w:divBdr>
    </w:div>
    <w:div w:id="668869748">
      <w:bodyDiv w:val="1"/>
      <w:marLeft w:val="0"/>
      <w:marRight w:val="0"/>
      <w:marTop w:val="0"/>
      <w:marBottom w:val="0"/>
      <w:divBdr>
        <w:top w:val="none" w:sz="0" w:space="0" w:color="auto"/>
        <w:left w:val="none" w:sz="0" w:space="0" w:color="auto"/>
        <w:bottom w:val="none" w:sz="0" w:space="0" w:color="auto"/>
        <w:right w:val="none" w:sz="0" w:space="0" w:color="auto"/>
      </w:divBdr>
    </w:div>
    <w:div w:id="702248303">
      <w:bodyDiv w:val="1"/>
      <w:marLeft w:val="0"/>
      <w:marRight w:val="0"/>
      <w:marTop w:val="0"/>
      <w:marBottom w:val="0"/>
      <w:divBdr>
        <w:top w:val="none" w:sz="0" w:space="0" w:color="auto"/>
        <w:left w:val="none" w:sz="0" w:space="0" w:color="auto"/>
        <w:bottom w:val="none" w:sz="0" w:space="0" w:color="auto"/>
        <w:right w:val="none" w:sz="0" w:space="0" w:color="auto"/>
      </w:divBdr>
    </w:div>
    <w:div w:id="983780138">
      <w:bodyDiv w:val="1"/>
      <w:marLeft w:val="0"/>
      <w:marRight w:val="0"/>
      <w:marTop w:val="0"/>
      <w:marBottom w:val="0"/>
      <w:divBdr>
        <w:top w:val="none" w:sz="0" w:space="0" w:color="auto"/>
        <w:left w:val="none" w:sz="0" w:space="0" w:color="auto"/>
        <w:bottom w:val="none" w:sz="0" w:space="0" w:color="auto"/>
        <w:right w:val="none" w:sz="0" w:space="0" w:color="auto"/>
      </w:divBdr>
    </w:div>
    <w:div w:id="1094010714">
      <w:bodyDiv w:val="1"/>
      <w:marLeft w:val="0"/>
      <w:marRight w:val="0"/>
      <w:marTop w:val="0"/>
      <w:marBottom w:val="0"/>
      <w:divBdr>
        <w:top w:val="none" w:sz="0" w:space="0" w:color="auto"/>
        <w:left w:val="none" w:sz="0" w:space="0" w:color="auto"/>
        <w:bottom w:val="none" w:sz="0" w:space="0" w:color="auto"/>
        <w:right w:val="none" w:sz="0" w:space="0" w:color="auto"/>
      </w:divBdr>
    </w:div>
    <w:div w:id="1158229509">
      <w:bodyDiv w:val="1"/>
      <w:marLeft w:val="0"/>
      <w:marRight w:val="0"/>
      <w:marTop w:val="0"/>
      <w:marBottom w:val="0"/>
      <w:divBdr>
        <w:top w:val="none" w:sz="0" w:space="0" w:color="auto"/>
        <w:left w:val="none" w:sz="0" w:space="0" w:color="auto"/>
        <w:bottom w:val="none" w:sz="0" w:space="0" w:color="auto"/>
        <w:right w:val="none" w:sz="0" w:space="0" w:color="auto"/>
      </w:divBdr>
    </w:div>
    <w:div w:id="1249271317">
      <w:bodyDiv w:val="1"/>
      <w:marLeft w:val="0"/>
      <w:marRight w:val="0"/>
      <w:marTop w:val="0"/>
      <w:marBottom w:val="0"/>
      <w:divBdr>
        <w:top w:val="none" w:sz="0" w:space="0" w:color="auto"/>
        <w:left w:val="none" w:sz="0" w:space="0" w:color="auto"/>
        <w:bottom w:val="none" w:sz="0" w:space="0" w:color="auto"/>
        <w:right w:val="none" w:sz="0" w:space="0" w:color="auto"/>
      </w:divBdr>
    </w:div>
    <w:div w:id="1309171732">
      <w:bodyDiv w:val="1"/>
      <w:marLeft w:val="0"/>
      <w:marRight w:val="0"/>
      <w:marTop w:val="0"/>
      <w:marBottom w:val="0"/>
      <w:divBdr>
        <w:top w:val="none" w:sz="0" w:space="0" w:color="auto"/>
        <w:left w:val="none" w:sz="0" w:space="0" w:color="auto"/>
        <w:bottom w:val="none" w:sz="0" w:space="0" w:color="auto"/>
        <w:right w:val="none" w:sz="0" w:space="0" w:color="auto"/>
      </w:divBdr>
    </w:div>
    <w:div w:id="1311907416">
      <w:bodyDiv w:val="1"/>
      <w:marLeft w:val="0"/>
      <w:marRight w:val="0"/>
      <w:marTop w:val="0"/>
      <w:marBottom w:val="0"/>
      <w:divBdr>
        <w:top w:val="none" w:sz="0" w:space="0" w:color="auto"/>
        <w:left w:val="none" w:sz="0" w:space="0" w:color="auto"/>
        <w:bottom w:val="none" w:sz="0" w:space="0" w:color="auto"/>
        <w:right w:val="none" w:sz="0" w:space="0" w:color="auto"/>
      </w:divBdr>
    </w:div>
    <w:div w:id="1693260320">
      <w:bodyDiv w:val="1"/>
      <w:marLeft w:val="0"/>
      <w:marRight w:val="0"/>
      <w:marTop w:val="0"/>
      <w:marBottom w:val="0"/>
      <w:divBdr>
        <w:top w:val="none" w:sz="0" w:space="0" w:color="auto"/>
        <w:left w:val="none" w:sz="0" w:space="0" w:color="auto"/>
        <w:bottom w:val="none" w:sz="0" w:space="0" w:color="auto"/>
        <w:right w:val="none" w:sz="0" w:space="0" w:color="auto"/>
      </w:divBdr>
    </w:div>
    <w:div w:id="1746954508">
      <w:bodyDiv w:val="1"/>
      <w:marLeft w:val="0"/>
      <w:marRight w:val="0"/>
      <w:marTop w:val="0"/>
      <w:marBottom w:val="0"/>
      <w:divBdr>
        <w:top w:val="none" w:sz="0" w:space="0" w:color="auto"/>
        <w:left w:val="none" w:sz="0" w:space="0" w:color="auto"/>
        <w:bottom w:val="none" w:sz="0" w:space="0" w:color="auto"/>
        <w:right w:val="none" w:sz="0" w:space="0" w:color="auto"/>
      </w:divBdr>
    </w:div>
    <w:div w:id="1862745735">
      <w:bodyDiv w:val="1"/>
      <w:marLeft w:val="0"/>
      <w:marRight w:val="0"/>
      <w:marTop w:val="0"/>
      <w:marBottom w:val="0"/>
      <w:divBdr>
        <w:top w:val="none" w:sz="0" w:space="0" w:color="auto"/>
        <w:left w:val="none" w:sz="0" w:space="0" w:color="auto"/>
        <w:bottom w:val="none" w:sz="0" w:space="0" w:color="auto"/>
        <w:right w:val="none" w:sz="0" w:space="0" w:color="auto"/>
      </w:divBdr>
    </w:div>
    <w:div w:id="1870221883">
      <w:bodyDiv w:val="1"/>
      <w:marLeft w:val="0"/>
      <w:marRight w:val="0"/>
      <w:marTop w:val="0"/>
      <w:marBottom w:val="0"/>
      <w:divBdr>
        <w:top w:val="none" w:sz="0" w:space="0" w:color="auto"/>
        <w:left w:val="none" w:sz="0" w:space="0" w:color="auto"/>
        <w:bottom w:val="none" w:sz="0" w:space="0" w:color="auto"/>
        <w:right w:val="none" w:sz="0" w:space="0" w:color="auto"/>
      </w:divBdr>
    </w:div>
    <w:div w:id="1908487825">
      <w:bodyDiv w:val="1"/>
      <w:marLeft w:val="0"/>
      <w:marRight w:val="0"/>
      <w:marTop w:val="0"/>
      <w:marBottom w:val="0"/>
      <w:divBdr>
        <w:top w:val="none" w:sz="0" w:space="0" w:color="auto"/>
        <w:left w:val="none" w:sz="0" w:space="0" w:color="auto"/>
        <w:bottom w:val="none" w:sz="0" w:space="0" w:color="auto"/>
        <w:right w:val="none" w:sz="0" w:space="0" w:color="auto"/>
      </w:divBdr>
    </w:div>
    <w:div w:id="2010521200">
      <w:bodyDiv w:val="1"/>
      <w:marLeft w:val="0"/>
      <w:marRight w:val="0"/>
      <w:marTop w:val="0"/>
      <w:marBottom w:val="0"/>
      <w:divBdr>
        <w:top w:val="none" w:sz="0" w:space="0" w:color="auto"/>
        <w:left w:val="none" w:sz="0" w:space="0" w:color="auto"/>
        <w:bottom w:val="none" w:sz="0" w:space="0" w:color="auto"/>
        <w:right w:val="none" w:sz="0" w:space="0" w:color="auto"/>
      </w:divBdr>
    </w:div>
    <w:div w:id="214619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csrn.org/en/About/"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upreme-dm.org/index.html" TargetMode="External"/><Relationship Id="rId12" Type="http://schemas.openxmlformats.org/officeDocument/2006/relationships/image" Target="media/image4.png"/><Relationship Id="rId17" Type="http://schemas.openxmlformats.org/officeDocument/2006/relationships/image" Target="media/image9.ti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4537</Words>
  <Characters>25866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 Brouwer</dc:creator>
  <cp:keywords/>
  <dc:description/>
  <cp:lastModifiedBy>Karen J. Coleman</cp:lastModifiedBy>
  <cp:revision>2</cp:revision>
  <dcterms:created xsi:type="dcterms:W3CDTF">2021-08-31T15:53:00Z</dcterms:created>
  <dcterms:modified xsi:type="dcterms:W3CDTF">2021-08-31T15:53:00Z</dcterms:modified>
</cp:coreProperties>
</file>