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E24CE" w14:textId="77777777" w:rsidR="008F0D2A" w:rsidRPr="005A5503" w:rsidRDefault="008F0D2A" w:rsidP="008F0D2A">
      <w:pPr>
        <w:pBdr>
          <w:bottom w:val="single" w:sz="4" w:space="1" w:color="auto"/>
        </w:pBdr>
        <w:autoSpaceDE w:val="0"/>
        <w:autoSpaceDN w:val="0"/>
        <w:adjustRightInd w:val="0"/>
        <w:spacing w:line="360" w:lineRule="auto"/>
        <w:jc w:val="center"/>
        <w:rPr>
          <w:sz w:val="36"/>
          <w:szCs w:val="36"/>
        </w:rPr>
      </w:pPr>
      <w:r>
        <w:rPr>
          <w:sz w:val="36"/>
          <w:szCs w:val="36"/>
        </w:rPr>
        <w:t xml:space="preserve">Influenza Vaccination is associated with Reduced Cardiovascular Mortality in Diabetes Mellitus. A Nationwide Cohort Study. </w:t>
      </w:r>
    </w:p>
    <w:p w14:paraId="31E23623" w14:textId="77777777" w:rsidR="0081379A" w:rsidRPr="00F4066E" w:rsidRDefault="0081379A" w:rsidP="008F0D2A">
      <w:pPr>
        <w:spacing w:line="360" w:lineRule="auto"/>
        <w:jc w:val="center"/>
        <w:rPr>
          <w:b/>
        </w:rPr>
      </w:pPr>
    </w:p>
    <w:p w14:paraId="6596D7F0" w14:textId="77777777" w:rsidR="008F0D2A" w:rsidRDefault="008F0D2A" w:rsidP="008F0D2A">
      <w:pPr>
        <w:spacing w:line="360" w:lineRule="auto"/>
        <w:jc w:val="center"/>
        <w:rPr>
          <w:b/>
        </w:rPr>
      </w:pPr>
    </w:p>
    <w:p w14:paraId="444176FB" w14:textId="5DE6D9A3" w:rsidR="008F0D2A" w:rsidRDefault="008F0D2A" w:rsidP="008F0D2A">
      <w:pPr>
        <w:spacing w:line="360" w:lineRule="auto"/>
        <w:jc w:val="center"/>
        <w:rPr>
          <w:b/>
        </w:rPr>
      </w:pPr>
    </w:p>
    <w:p w14:paraId="7C382425" w14:textId="10CF88CB" w:rsidR="008F0D2A" w:rsidRDefault="008F0D2A" w:rsidP="008F0D2A">
      <w:pPr>
        <w:spacing w:line="360" w:lineRule="auto"/>
        <w:jc w:val="center"/>
        <w:rPr>
          <w:b/>
        </w:rPr>
      </w:pPr>
    </w:p>
    <w:p w14:paraId="45826598" w14:textId="2A717916" w:rsidR="008F0D2A" w:rsidRDefault="008F0D2A" w:rsidP="008F0D2A">
      <w:pPr>
        <w:spacing w:line="360" w:lineRule="auto"/>
        <w:jc w:val="center"/>
        <w:rPr>
          <w:b/>
        </w:rPr>
      </w:pPr>
    </w:p>
    <w:p w14:paraId="5E3F1968" w14:textId="77777777" w:rsidR="008F0D2A" w:rsidRDefault="008F0D2A" w:rsidP="008F0D2A">
      <w:pPr>
        <w:spacing w:line="360" w:lineRule="auto"/>
        <w:jc w:val="center"/>
        <w:rPr>
          <w:b/>
        </w:rPr>
      </w:pPr>
    </w:p>
    <w:p w14:paraId="73A7FD51" w14:textId="77777777" w:rsidR="008F0D2A" w:rsidRDefault="008F0D2A" w:rsidP="008F0D2A">
      <w:pPr>
        <w:spacing w:line="360" w:lineRule="auto"/>
        <w:jc w:val="center"/>
        <w:rPr>
          <w:b/>
        </w:rPr>
      </w:pPr>
    </w:p>
    <w:p w14:paraId="39797F6F" w14:textId="66E6EDE6" w:rsidR="0081379A" w:rsidRPr="008F0D2A" w:rsidRDefault="008F0D2A" w:rsidP="008F0D2A">
      <w:pPr>
        <w:spacing w:line="360" w:lineRule="auto"/>
        <w:jc w:val="center"/>
        <w:rPr>
          <w:b/>
          <w:sz w:val="28"/>
          <w:szCs w:val="28"/>
        </w:rPr>
      </w:pPr>
      <w:r w:rsidRPr="008F0D2A">
        <w:rPr>
          <w:b/>
          <w:sz w:val="28"/>
          <w:szCs w:val="28"/>
        </w:rPr>
        <w:t>Authors</w:t>
      </w:r>
    </w:p>
    <w:p w14:paraId="5832C0C8" w14:textId="2E5B43B2" w:rsidR="008F0D2A" w:rsidRPr="008F0D2A" w:rsidRDefault="008F0D2A" w:rsidP="008F0D2A">
      <w:pPr>
        <w:widowControl w:val="0"/>
        <w:autoSpaceDE w:val="0"/>
        <w:autoSpaceDN w:val="0"/>
        <w:adjustRightInd w:val="0"/>
        <w:spacing w:after="240" w:line="360" w:lineRule="auto"/>
        <w:jc w:val="center"/>
        <w:rPr>
          <w:color w:val="2085C8"/>
          <w:sz w:val="28"/>
          <w:szCs w:val="28"/>
        </w:rPr>
      </w:pPr>
      <w:r w:rsidRPr="008F0D2A">
        <w:rPr>
          <w:color w:val="000000" w:themeColor="text1"/>
          <w:sz w:val="28"/>
          <w:szCs w:val="28"/>
        </w:rPr>
        <w:t xml:space="preserve">Daniel </w:t>
      </w:r>
      <w:proofErr w:type="spellStart"/>
      <w:r w:rsidRPr="008F0D2A">
        <w:rPr>
          <w:color w:val="000000" w:themeColor="text1"/>
          <w:sz w:val="28"/>
          <w:szCs w:val="28"/>
        </w:rPr>
        <w:t>Modin</w:t>
      </w:r>
      <w:proofErr w:type="spellEnd"/>
      <w:r w:rsidRPr="008F0D2A">
        <w:rPr>
          <w:color w:val="000000" w:themeColor="text1"/>
          <w:sz w:val="28"/>
          <w:szCs w:val="28"/>
        </w:rPr>
        <w:t xml:space="preserve">; </w:t>
      </w:r>
      <w:r w:rsidRPr="008F0D2A">
        <w:rPr>
          <w:bCs/>
          <w:sz w:val="28"/>
          <w:szCs w:val="28"/>
        </w:rPr>
        <w:t xml:space="preserve">Brian Claggett; </w:t>
      </w:r>
      <w:r w:rsidRPr="008F0D2A">
        <w:rPr>
          <w:sz w:val="28"/>
          <w:szCs w:val="28"/>
        </w:rPr>
        <w:t xml:space="preserve">Lars </w:t>
      </w:r>
      <w:proofErr w:type="spellStart"/>
      <w:r w:rsidRPr="008F0D2A">
        <w:rPr>
          <w:sz w:val="28"/>
          <w:szCs w:val="28"/>
        </w:rPr>
        <w:t>Køber</w:t>
      </w:r>
      <w:proofErr w:type="spellEnd"/>
      <w:r w:rsidRPr="008F0D2A">
        <w:rPr>
          <w:color w:val="000000" w:themeColor="text1"/>
          <w:sz w:val="28"/>
          <w:szCs w:val="28"/>
        </w:rPr>
        <w:t xml:space="preserve">; Morten </w:t>
      </w:r>
      <w:proofErr w:type="spellStart"/>
      <w:r w:rsidRPr="008F0D2A">
        <w:rPr>
          <w:color w:val="000000" w:themeColor="text1"/>
          <w:sz w:val="28"/>
          <w:szCs w:val="28"/>
        </w:rPr>
        <w:t>Schou</w:t>
      </w:r>
      <w:proofErr w:type="spellEnd"/>
      <w:r w:rsidRPr="008F0D2A">
        <w:rPr>
          <w:color w:val="000000" w:themeColor="text1"/>
          <w:sz w:val="28"/>
          <w:szCs w:val="28"/>
        </w:rPr>
        <w:t xml:space="preserve">; Jens </w:t>
      </w:r>
      <w:proofErr w:type="spellStart"/>
      <w:r w:rsidRPr="008F0D2A">
        <w:rPr>
          <w:color w:val="000000" w:themeColor="text1"/>
          <w:sz w:val="28"/>
          <w:szCs w:val="28"/>
        </w:rPr>
        <w:t>Ulrik</w:t>
      </w:r>
      <w:proofErr w:type="spellEnd"/>
      <w:r w:rsidRPr="008F0D2A">
        <w:rPr>
          <w:color w:val="000000" w:themeColor="text1"/>
          <w:sz w:val="28"/>
          <w:szCs w:val="28"/>
        </w:rPr>
        <w:t xml:space="preserve"> </w:t>
      </w:r>
      <w:proofErr w:type="spellStart"/>
      <w:r w:rsidRPr="008F0D2A">
        <w:rPr>
          <w:color w:val="000000" w:themeColor="text1"/>
          <w:sz w:val="28"/>
          <w:szCs w:val="28"/>
        </w:rPr>
        <w:t>Stæhr</w:t>
      </w:r>
      <w:proofErr w:type="spellEnd"/>
      <w:r w:rsidRPr="008F0D2A">
        <w:rPr>
          <w:color w:val="000000" w:themeColor="text1"/>
          <w:sz w:val="28"/>
          <w:szCs w:val="28"/>
        </w:rPr>
        <w:t xml:space="preserve"> Jensen; </w:t>
      </w:r>
      <w:r w:rsidRPr="008F0D2A">
        <w:rPr>
          <w:bCs/>
          <w:sz w:val="28"/>
          <w:szCs w:val="28"/>
        </w:rPr>
        <w:t xml:space="preserve">Scott D. Solomon; </w:t>
      </w:r>
      <w:proofErr w:type="spellStart"/>
      <w:r w:rsidRPr="008F0D2A">
        <w:rPr>
          <w:bCs/>
          <w:sz w:val="28"/>
          <w:szCs w:val="28"/>
        </w:rPr>
        <w:t>Orly</w:t>
      </w:r>
      <w:proofErr w:type="spellEnd"/>
      <w:r w:rsidRPr="008F0D2A">
        <w:rPr>
          <w:bCs/>
          <w:sz w:val="28"/>
          <w:szCs w:val="28"/>
        </w:rPr>
        <w:t xml:space="preserve"> </w:t>
      </w:r>
      <w:proofErr w:type="spellStart"/>
      <w:r w:rsidRPr="008F0D2A">
        <w:rPr>
          <w:bCs/>
          <w:sz w:val="28"/>
          <w:szCs w:val="28"/>
        </w:rPr>
        <w:t>Vardeny</w:t>
      </w:r>
      <w:proofErr w:type="spellEnd"/>
      <w:r w:rsidRPr="008F0D2A">
        <w:rPr>
          <w:bCs/>
          <w:sz w:val="28"/>
          <w:szCs w:val="28"/>
        </w:rPr>
        <w:t xml:space="preserve">; Filip </w:t>
      </w:r>
      <w:proofErr w:type="spellStart"/>
      <w:r w:rsidRPr="008F0D2A">
        <w:rPr>
          <w:bCs/>
          <w:sz w:val="28"/>
          <w:szCs w:val="28"/>
        </w:rPr>
        <w:t>Krag</w:t>
      </w:r>
      <w:proofErr w:type="spellEnd"/>
      <w:r w:rsidRPr="008F0D2A">
        <w:rPr>
          <w:bCs/>
          <w:sz w:val="28"/>
          <w:szCs w:val="28"/>
        </w:rPr>
        <w:t xml:space="preserve"> Knop; Susanne Dam </w:t>
      </w:r>
      <w:r w:rsidR="00D5733C">
        <w:rPr>
          <w:bCs/>
          <w:sz w:val="28"/>
          <w:szCs w:val="28"/>
        </w:rPr>
        <w:t>Nielsen</w:t>
      </w:r>
      <w:r w:rsidRPr="008F0D2A">
        <w:rPr>
          <w:bCs/>
          <w:sz w:val="28"/>
          <w:szCs w:val="28"/>
        </w:rPr>
        <w:t>;</w:t>
      </w:r>
      <w:r w:rsidR="00984752">
        <w:rPr>
          <w:bCs/>
          <w:sz w:val="28"/>
          <w:szCs w:val="28"/>
        </w:rPr>
        <w:t xml:space="preserve"> Michael </w:t>
      </w:r>
      <w:proofErr w:type="spellStart"/>
      <w:r w:rsidR="00984752">
        <w:rPr>
          <w:bCs/>
          <w:sz w:val="28"/>
          <w:szCs w:val="28"/>
        </w:rPr>
        <w:t>Fralick</w:t>
      </w:r>
      <w:proofErr w:type="spellEnd"/>
      <w:r w:rsidR="00984752">
        <w:rPr>
          <w:bCs/>
          <w:sz w:val="28"/>
          <w:szCs w:val="28"/>
        </w:rPr>
        <w:t>;</w:t>
      </w:r>
      <w:r w:rsidRPr="008F0D2A">
        <w:rPr>
          <w:bCs/>
          <w:sz w:val="28"/>
          <w:szCs w:val="28"/>
        </w:rPr>
        <w:t xml:space="preserve"> </w:t>
      </w:r>
      <w:r w:rsidRPr="008F0D2A">
        <w:rPr>
          <w:color w:val="000000" w:themeColor="text1"/>
          <w:sz w:val="28"/>
          <w:szCs w:val="28"/>
        </w:rPr>
        <w:t xml:space="preserve">Christian Torp-Pedersen; </w:t>
      </w:r>
      <w:r w:rsidRPr="008F0D2A">
        <w:rPr>
          <w:sz w:val="28"/>
          <w:szCs w:val="28"/>
        </w:rPr>
        <w:t xml:space="preserve">Gunnar </w:t>
      </w:r>
      <w:proofErr w:type="spellStart"/>
      <w:r w:rsidRPr="008F0D2A">
        <w:rPr>
          <w:sz w:val="28"/>
          <w:szCs w:val="28"/>
        </w:rPr>
        <w:t>Gislason</w:t>
      </w:r>
      <w:proofErr w:type="spellEnd"/>
      <w:r w:rsidRPr="008F0D2A">
        <w:rPr>
          <w:sz w:val="28"/>
          <w:szCs w:val="28"/>
        </w:rPr>
        <w:t xml:space="preserve">; </w:t>
      </w:r>
      <w:r w:rsidRPr="008F0D2A">
        <w:rPr>
          <w:color w:val="000000" w:themeColor="text1"/>
          <w:sz w:val="28"/>
          <w:szCs w:val="28"/>
        </w:rPr>
        <w:t xml:space="preserve">Tor </w:t>
      </w:r>
      <w:proofErr w:type="spellStart"/>
      <w:r w:rsidRPr="008F0D2A">
        <w:rPr>
          <w:color w:val="000000" w:themeColor="text1"/>
          <w:sz w:val="28"/>
          <w:szCs w:val="28"/>
        </w:rPr>
        <w:t>Biering-Sørensen</w:t>
      </w:r>
      <w:proofErr w:type="spellEnd"/>
    </w:p>
    <w:p w14:paraId="456AB384" w14:textId="77777777" w:rsidR="0081379A" w:rsidRPr="00F4066E" w:rsidRDefault="0081379A" w:rsidP="008F0D2A">
      <w:pPr>
        <w:spacing w:line="360" w:lineRule="auto"/>
        <w:jc w:val="center"/>
        <w:rPr>
          <w:b/>
        </w:rPr>
      </w:pPr>
    </w:p>
    <w:p w14:paraId="15E2A122" w14:textId="0EAE0583" w:rsidR="0081379A" w:rsidRDefault="0081379A" w:rsidP="007B6507">
      <w:pPr>
        <w:widowControl w:val="0"/>
        <w:autoSpaceDE w:val="0"/>
        <w:autoSpaceDN w:val="0"/>
        <w:adjustRightInd w:val="0"/>
        <w:spacing w:after="240" w:line="360" w:lineRule="auto"/>
        <w:outlineLvl w:val="0"/>
        <w:rPr>
          <w:color w:val="000000" w:themeColor="text1"/>
          <w:sz w:val="36"/>
        </w:rPr>
      </w:pPr>
    </w:p>
    <w:p w14:paraId="54D27F7B" w14:textId="77777777" w:rsidR="008F0D2A" w:rsidRPr="00F4066E" w:rsidRDefault="008F0D2A" w:rsidP="007B6507">
      <w:pPr>
        <w:widowControl w:val="0"/>
        <w:autoSpaceDE w:val="0"/>
        <w:autoSpaceDN w:val="0"/>
        <w:adjustRightInd w:val="0"/>
        <w:spacing w:after="240" w:line="360" w:lineRule="auto"/>
        <w:outlineLvl w:val="0"/>
        <w:rPr>
          <w:color w:val="000000" w:themeColor="text1"/>
          <w:sz w:val="36"/>
        </w:rPr>
      </w:pPr>
    </w:p>
    <w:p w14:paraId="5AEBFF80" w14:textId="0DD91AA1" w:rsidR="0081379A" w:rsidRPr="007B6507" w:rsidRDefault="007B6507" w:rsidP="008F0D2A">
      <w:pPr>
        <w:widowControl w:val="0"/>
        <w:autoSpaceDE w:val="0"/>
        <w:autoSpaceDN w:val="0"/>
        <w:adjustRightInd w:val="0"/>
        <w:spacing w:after="240" w:line="360" w:lineRule="auto"/>
        <w:jc w:val="center"/>
        <w:outlineLvl w:val="0"/>
        <w:rPr>
          <w:b/>
          <w:bCs/>
          <w:color w:val="000000" w:themeColor="text1"/>
          <w:sz w:val="36"/>
        </w:rPr>
      </w:pPr>
      <w:r>
        <w:rPr>
          <w:b/>
          <w:bCs/>
          <w:color w:val="000000" w:themeColor="text1"/>
          <w:sz w:val="36"/>
        </w:rPr>
        <w:t xml:space="preserve">Supplemental Material </w:t>
      </w:r>
    </w:p>
    <w:p w14:paraId="545F87AC" w14:textId="77777777" w:rsidR="00DD332C" w:rsidRPr="00F4066E" w:rsidRDefault="00DD332C" w:rsidP="003415F7">
      <w:pPr>
        <w:widowControl w:val="0"/>
        <w:autoSpaceDE w:val="0"/>
        <w:autoSpaceDN w:val="0"/>
        <w:adjustRightInd w:val="0"/>
        <w:spacing w:after="240" w:line="276" w:lineRule="auto"/>
        <w:jc w:val="center"/>
        <w:outlineLvl w:val="0"/>
        <w:rPr>
          <w:color w:val="000000" w:themeColor="text1"/>
          <w:sz w:val="36"/>
        </w:rPr>
      </w:pPr>
    </w:p>
    <w:p w14:paraId="24215113" w14:textId="5CD28775" w:rsidR="00DD332C" w:rsidRPr="00F4066E" w:rsidRDefault="00DD332C" w:rsidP="003415F7">
      <w:pPr>
        <w:spacing w:line="276" w:lineRule="auto"/>
        <w:rPr>
          <w:color w:val="000000" w:themeColor="text1"/>
          <w:sz w:val="36"/>
        </w:rPr>
      </w:pPr>
      <w:r w:rsidRPr="00F4066E">
        <w:rPr>
          <w:color w:val="000000" w:themeColor="text1"/>
          <w:sz w:val="36"/>
        </w:rPr>
        <w:br w:type="page"/>
      </w:r>
    </w:p>
    <w:p w14:paraId="476383CE" w14:textId="32D285F6" w:rsidR="00DD332C" w:rsidRPr="00F4066E" w:rsidRDefault="004418AF" w:rsidP="003415F7">
      <w:pPr>
        <w:spacing w:line="276" w:lineRule="auto"/>
        <w:rPr>
          <w:b/>
          <w:sz w:val="32"/>
          <w:szCs w:val="32"/>
        </w:rPr>
      </w:pPr>
      <w:r>
        <w:rPr>
          <w:b/>
          <w:sz w:val="32"/>
          <w:szCs w:val="32"/>
        </w:rPr>
        <w:lastRenderedPageBreak/>
        <w:t>EXTENDED METHODS</w:t>
      </w:r>
    </w:p>
    <w:p w14:paraId="3B6A97EA" w14:textId="77777777" w:rsidR="00DD332C" w:rsidRPr="00F4066E" w:rsidRDefault="00DD332C" w:rsidP="003415F7">
      <w:pPr>
        <w:spacing w:line="276" w:lineRule="auto"/>
        <w:rPr>
          <w:b/>
          <w:sz w:val="32"/>
          <w:szCs w:val="32"/>
        </w:rPr>
      </w:pPr>
    </w:p>
    <w:p w14:paraId="0459A198" w14:textId="119294B1" w:rsidR="00B81DFC" w:rsidRPr="00F4066E" w:rsidRDefault="003A7B56" w:rsidP="003415F7">
      <w:pPr>
        <w:spacing w:line="276" w:lineRule="auto"/>
        <w:jc w:val="both"/>
        <w:outlineLvl w:val="0"/>
        <w:rPr>
          <w:b/>
        </w:rPr>
      </w:pPr>
      <w:r>
        <w:rPr>
          <w:b/>
        </w:rPr>
        <w:t>Patient characteristics</w:t>
      </w:r>
    </w:p>
    <w:p w14:paraId="7D98F1D9" w14:textId="34894C26" w:rsidR="00B81DFC" w:rsidRDefault="0091281E" w:rsidP="003415F7">
      <w:pPr>
        <w:spacing w:line="276" w:lineRule="auto"/>
        <w:jc w:val="both"/>
        <w:outlineLvl w:val="0"/>
      </w:pPr>
      <w:r>
        <w:t>We retrieved patient characteristics assessed</w:t>
      </w:r>
      <w:r w:rsidR="00BD6C80">
        <w:t xml:space="preserve"> at the beginning of each season (December 1</w:t>
      </w:r>
      <w:r>
        <w:t>)</w:t>
      </w:r>
      <w:r w:rsidR="00B81DFC" w:rsidRPr="00F4066E">
        <w:t xml:space="preserve"> from the Danish National Patient</w:t>
      </w:r>
      <w:r w:rsidR="0051151D" w:rsidRPr="00F4066E">
        <w:t xml:space="preserve"> Registry</w:t>
      </w:r>
      <w:r w:rsidR="0051151D" w:rsidRPr="00F4066E">
        <w:fldChar w:fldCharType="begin"/>
      </w:r>
      <w:r w:rsidR="0016321D">
        <w:instrText xml:space="preserve"> ADDIN ZOTERO_ITEM CSL_CITATION {"citationID":"a1boo6tjdjg","properties":{"formattedCitation":"[1]","plainCitation":"[1]","noteIndex":0},"citationItems":[{"id":1913,"uris":["http://zotero.org/users/local/WLnDBBlJ/items/IFHMYY48"],"uri":["http://zotero.org/users/local/WLnDBBlJ/items/IFHMYY48"],"itemData":{"id":1913,"type":"article-journal","title":"The Danish National Patient Registry: a review of content, data quality, and research potential","container-title":"Clinical Epidemiology","page":"449-490","volume":"7","source":"PubMed Central","abstract":"Background\nThe Danish National Patient Registry (DNPR) is one of the world’s oldest nationwide hospital registries and is used extensively for research. Many studies have validated algorithms for identifying health events in the DNPR, but the reports are fragmented and no overview exists.\n\nObjectives\nTo review the content, data quality, and research potential of the DNPR.\n\nMethods\nWe examined the setting, history, aims, content, and classification systems of the DNPR. We searched PubMed and the Danish Medical Journal to create a bibliography of validation studies. We included also studies that were referenced in retrieved papers or known to us beforehand. Methodological considerations related to DNPR data were reviewed.\n\nResults\nDuring 1977–2012, the DNPR registered 8,085,603 persons, accounting for 7,268,857 inpatient, 5,953,405 outpatient, and 5,097,300 emergency department contacts. The DNPR provides nationwide longitudinal registration of detailed administrative and clinical data. It has recorded information on all patients discharged from Danish nonpsychiatric hospitals since 1977 and on psychiatric inpatients and emergency department and outpatient specialty clinic contacts since 1995. For each patient contact, one primary and optional secondary diagnoses are recorded according to the International Classification of Diseases. The DNPR provides a data source to identify diseases, examinations, certain in-hospital medical treatments, and surgical procedures. Long-term temporal trends in hospitalization and treatment rates can be studied. The positive predictive values of diseases and treatments vary widely (&lt;15%–100%). The DNPR data are linkable at the patient level with data from other Danish administrative registries, clinical registries, randomized controlled trials, population surveys, and epidemiologic field studies – enabling researchers to reconstruct individual life and health trajectories for an entire population.\n\nConclusion\nThe DNPR is a valuable tool for epidemiological research. However, both its strengths and limitations must be considered when interpreting research results, and continuous validation of its clinical data is essential.","DOI":"10.2147/CLEP.S91125","ISSN":"1179-1349","note":"PMID: 26604824\nPMCID: PMC4655913","title-short":"The Danish National Patient Registry","journalAbbreviation":"Clin Epidemiol","author":[{"family":"Schmidt","given":"Morten"},{"family":"Schmidt","given":"Sigrun Alba Johannesdottir"},{"family":"Sandegaard","given":"Jakob Lynge"},{"family":"Ehrenstein","given":"Vera"},{"family":"Pedersen","given":"Lars"},{"family":"Sørensen","given":"Henrik Toft"}],"issued":{"date-parts":[["2015",11,17]]}}}],"schema":"https://github.com/citation-style-language/schema/raw/master/csl-citation.json"} </w:instrText>
      </w:r>
      <w:r w:rsidR="0051151D" w:rsidRPr="00F4066E">
        <w:fldChar w:fldCharType="separate"/>
      </w:r>
      <w:r w:rsidR="00E547D5">
        <w:rPr>
          <w:noProof/>
        </w:rPr>
        <w:t>[1]</w:t>
      </w:r>
      <w:r w:rsidR="0051151D" w:rsidRPr="00F4066E">
        <w:fldChar w:fldCharType="end"/>
      </w:r>
      <w:r w:rsidR="0051151D" w:rsidRPr="00F4066E">
        <w:t xml:space="preserve"> using ICD-10 codes (Supplemental Table S2</w:t>
      </w:r>
      <w:r w:rsidR="00B81DFC" w:rsidRPr="00F4066E">
        <w:t>)</w:t>
      </w:r>
      <w:r w:rsidR="0051151D" w:rsidRPr="00F4066E">
        <w:t xml:space="preserve">. </w:t>
      </w:r>
      <w:r w:rsidR="00B81DFC" w:rsidRPr="00F4066E">
        <w:t xml:space="preserve">All diagnoses from the Danish National Patient Register included in the </w:t>
      </w:r>
      <w:proofErr w:type="spellStart"/>
      <w:r w:rsidR="00B81DFC" w:rsidRPr="00F4066E">
        <w:t>Charlson</w:t>
      </w:r>
      <w:proofErr w:type="spellEnd"/>
      <w:r w:rsidR="00B81DFC" w:rsidRPr="00F4066E">
        <w:t xml:space="preserve"> comorbidity index have been validated with positive predictive values of 96% to 100%</w:t>
      </w:r>
      <w:r w:rsidR="00B81DFC" w:rsidRPr="00F4066E">
        <w:fldChar w:fldCharType="begin"/>
      </w:r>
      <w:r w:rsidR="00E547D5">
        <w:instrText xml:space="preserve"> ADDIN ZOTERO_ITEM CSL_CITATION {"citationID":"LZHYKOFn","properties":{"formattedCitation":"[2]","plainCitation":"[2]","noteIndex":0},"citationItems":[{"id":2406,"uris":["http://zotero.org/users/local/WLnDBBlJ/items/55RCQLB3"],"uri":["http://zotero.org/users/local/WLnDBBlJ/items/55RCQLB3"],"itemData":{"id":2406,"type":"article-journal","title":"The predictive value of ICD-10 diagnostic coding used to assess Charlson comorbidity index conditions in the population-based Danish National Registry of Patients","container-title":"BMC medical research methodology","page":"83","volume":"11","source":"PubMed","abstract":"BACKGROUND: The Charlson comorbidity index is often used to control for confounding in research based on medical databases. There are few studies of the accuracy of the codes obtained from these databases. We examined the positive predictive value (PPV) of the ICD-10 diagnostic coding in the Danish National Registry of Patients (NRP) for the 19 Charlson conditions.\nMETHODS: Among all hospitalizations in Northern Denmark between 1 January 1998 and 31 December 2007 with a first-listed diagnosis of a Charlson condition in the NRP, we selected 50 hospital contacts for each condition. We reviewed discharge summaries and medical records to verify the NRP diagnoses, and computed the PPV as the proportion of confirmed diagnoses.\nRESULTS: A total of 950 records were reviewed. The overall PPV for the 19 Charlson conditions was 98.0% (95% CI; 96.9, 98.8). The PPVs ranged from 82.0% (95% CI; 68.6%, 91.4%) for diabetes with diabetic complications to 100% (one-sided 97.5% CI; 92.9%, 100%) for congestive heart failure, peripheral vascular disease, chronic pulmonary disease, mild and severe liver disease, hemiplegia, renal disease, leukaemia, lymphoma, metastatic tumour, and AIDS.\nCONCLUSION: The PPV of NRP coding of the Charlson conditions was consistently high.","DOI":"10.1186/1471-2288-11-83","ISSN":"1471-2288","note":"PMID: 21619668\nPMCID: PMC3125388","journalAbbreviation":"BMC Med Res Methodol","language":"eng","author":[{"family":"Thygesen","given":"Sandra K."},{"family":"Christiansen","given":"Christian F."},{"family":"Christensen","given":"Steffen"},{"family":"Lash","given":"Timothy L."},{"family":"Sørensen","given":"Henrik T."}],"issued":{"date-parts":[["2011",5,28]]}}}],"schema":"https://github.com/citation-style-language/schema/raw/master/csl-citation.json"} </w:instrText>
      </w:r>
      <w:r w:rsidR="00B81DFC" w:rsidRPr="00F4066E">
        <w:fldChar w:fldCharType="separate"/>
      </w:r>
      <w:r w:rsidR="00E547D5">
        <w:rPr>
          <w:noProof/>
        </w:rPr>
        <w:t>[2]</w:t>
      </w:r>
      <w:r w:rsidR="00B81DFC" w:rsidRPr="00F4066E">
        <w:fldChar w:fldCharType="end"/>
      </w:r>
      <w:r w:rsidR="00B81DFC" w:rsidRPr="00F4066E">
        <w:t xml:space="preserve">. </w:t>
      </w:r>
      <w:r w:rsidR="0008092E">
        <w:t>Information on medication use at</w:t>
      </w:r>
      <w:r w:rsidR="00BD6C80">
        <w:t xml:space="preserve"> the beginning of each season</w:t>
      </w:r>
      <w:r w:rsidR="00B81DFC" w:rsidRPr="00F4066E">
        <w:t xml:space="preserve"> w</w:t>
      </w:r>
      <w:r w:rsidR="0008092E">
        <w:t>as</w:t>
      </w:r>
      <w:r w:rsidR="00B81DFC" w:rsidRPr="00F4066E">
        <w:t xml:space="preserve"> retrieved from the Danish National Prescription Registry</w:t>
      </w:r>
      <w:r w:rsidR="00B81DFC" w:rsidRPr="00F4066E">
        <w:fldChar w:fldCharType="begin"/>
      </w:r>
      <w:r w:rsidR="00E547D5">
        <w:instrText xml:space="preserve"> ADDIN ZOTERO_ITEM CSL_CITATION {"citationID":"a1tsso47t2g","properties":{"formattedCitation":"[3]","plainCitation":"[3]","noteIndex":0},"citationItems":[{"id":1916,"uris":["http://zotero.org/users/local/WLnDBBlJ/items/N6TD5VD2"],"uri":["http://zotero.org/users/local/WLnDBBlJ/items/N6TD5VD2"],"itemData":{"id":1916,"type":"article-journal","title":"The Danish National Prescription Registry","container-title":"Scandinavian Journal of Public Health","page":"38-41","volume":"39","issue":"7 Suppl","source":"PubMed","abstract":"INTRODUCTION: Individual-level data on all prescription drugs sold in Danish community pharmacies has since 1994 been recorded in the Register of Medicinal Products Statistics of the Danish Medicines Agency.\nCONTENT: The register subset, termed the Danish National Prescription Registry (DNPR), contains information on dispensed prescriptions, including variables at the level of the drug user, the prescriber, and the pharmacy.\nVALIDITY AND COVERAGE: Reimbursement-driven record keeping, with automated bar-code-based data entry provides data of high quality, including detailed information on the dispensed drug.\nCONCLUSION: The possibility of linkage with many other nationwide individual-level data sources renders the DNPR a very powerful pharmacoepidemiological tool.","DOI":"10.1177/1403494810394717","ISSN":"1651-1905","note":"PMID: 21775349","journalAbbreviation":"Scand J Public Health","language":"eng","author":[{"family":"Kildemoes","given":"Helle Wallach"},{"family":"Sørensen","given":"Henrik Toft"},{"family":"Hallas","given":"Jesper"}],"issued":{"date-parts":[["2011",7]]}}}],"schema":"https://github.com/citation-style-language/schema/raw/master/csl-citation.json"} </w:instrText>
      </w:r>
      <w:r w:rsidR="00B81DFC" w:rsidRPr="00F4066E">
        <w:fldChar w:fldCharType="separate"/>
      </w:r>
      <w:r w:rsidR="00E547D5">
        <w:rPr>
          <w:noProof/>
        </w:rPr>
        <w:t>[3]</w:t>
      </w:r>
      <w:r w:rsidR="00B81DFC" w:rsidRPr="00F4066E">
        <w:fldChar w:fldCharType="end"/>
      </w:r>
      <w:r w:rsidR="00B81DFC" w:rsidRPr="00F4066E">
        <w:t xml:space="preserve"> and defined as at least 1 filled prescription up to 6 months prior to baseline. </w:t>
      </w:r>
      <w:r w:rsidR="0008092E">
        <w:t>Household income and educational level</w:t>
      </w:r>
      <w:r w:rsidR="00BD6C80">
        <w:t xml:space="preserve"> </w:t>
      </w:r>
      <w:r w:rsidR="00CB228E">
        <w:t>at the beginning of each season</w:t>
      </w:r>
      <w:r w:rsidR="00B81DFC" w:rsidRPr="00F4066E">
        <w:t xml:space="preserve"> was collected from the Danish National Population Registry</w:t>
      </w:r>
      <w:r w:rsidR="00B81DFC" w:rsidRPr="00F4066E">
        <w:fldChar w:fldCharType="begin"/>
      </w:r>
      <w:r w:rsidR="00E547D5">
        <w:instrText xml:space="preserve"> ADDIN ZOTERO_ITEM CSL_CITATION {"citationID":"abmtpsv5kh","properties":{"formattedCitation":"[4]","plainCitation":"[4]","noteIndex":0},"citationItems":[{"id":2009,"uris":["http://zotero.org/users/local/WLnDBBlJ/items/RVQ34S6L"],"uri":["http://zotero.org/users/local/WLnDBBlJ/items/RVQ34S6L"],"itemData":{"id":2009,"type":"article-journal","title":"The Danish Civil Registration System","container-title":"Scandinavian Journal of Public Health","page":"22-25","volume":"39","issue":"7 Suppl","source":"PubMed","abstract":"INTRODUCTION: The Danish Civil Registration System (CRS) was established in 1968, and all persons alive and living in Denmark were registered for administrative use.\nCONTENT: CRS includes individual information on the unique personal identification number, name, gender, date of birth, place of birth, citizenship, identity of parents and continuously updated information on vital status, place of residence and spouses.\nVALIDITY AND COVERAGE: Since 1968, CRS has recorded current and historical information on all persons living in Denmark. Among persons born in Denmark in 1960 or later it contains complete information on maternal identity. For women born in Denmark in April 1935 or later it contains complete information on all their children. CRS contains complete information on immigrations and emigrations from 1969 onwards, permanent residence in a Danish municipality from 1971 onwards, and full address in Denmark from 1977 onwards.\nCONCLUSION: CRS in connection with other registers and biobanks will continue to provide the basis for significant knowledge relevant to the aetiological understanding and possible prevention of human diseases.","DOI":"10.1177/1403494810387965","ISSN":"1651-1905","note":"PMID: 21775345","journalAbbreviation":"Scand J Public Health","language":"eng","author":[{"family":"Pedersen","given":"Carsten Bøcker"}],"issued":{"date-parts":[["2011",7]]}}}],"schema":"https://github.com/citation-style-language/schema/raw/master/csl-citation.json"} </w:instrText>
      </w:r>
      <w:r w:rsidR="00B81DFC" w:rsidRPr="00F4066E">
        <w:fldChar w:fldCharType="separate"/>
      </w:r>
      <w:r w:rsidR="00E547D5">
        <w:rPr>
          <w:noProof/>
        </w:rPr>
        <w:t>[4]</w:t>
      </w:r>
      <w:r w:rsidR="00B81DFC" w:rsidRPr="00F4066E">
        <w:fldChar w:fldCharType="end"/>
      </w:r>
      <w:r w:rsidR="00B81DFC" w:rsidRPr="00F4066E">
        <w:t>.</w:t>
      </w:r>
      <w:r w:rsidR="00BD6C80">
        <w:t xml:space="preserve"> </w:t>
      </w:r>
      <w:r w:rsidR="0008092E">
        <w:t>To account for changes between seasons, p</w:t>
      </w:r>
      <w:r w:rsidR="00BD6C80">
        <w:t xml:space="preserve">atient </w:t>
      </w:r>
      <w:r w:rsidR="000E7C31">
        <w:t>age, vaccination status in previous season, comorbidities, medications and</w:t>
      </w:r>
      <w:r w:rsidR="00BD6C80">
        <w:t xml:space="preserve"> household income and were reassessed at each the beginning of each season</w:t>
      </w:r>
      <w:r w:rsidR="0008092E">
        <w:t>.</w:t>
      </w:r>
    </w:p>
    <w:p w14:paraId="123B2F37" w14:textId="038F098E" w:rsidR="00A028E9" w:rsidRDefault="00A028E9" w:rsidP="003415F7">
      <w:pPr>
        <w:spacing w:line="276" w:lineRule="auto"/>
        <w:jc w:val="both"/>
        <w:outlineLvl w:val="0"/>
      </w:pPr>
    </w:p>
    <w:p w14:paraId="216E4562" w14:textId="1E688E4E" w:rsidR="00A028E9" w:rsidRDefault="00A028E9">
      <w:r>
        <w:br w:type="page"/>
      </w:r>
    </w:p>
    <w:p w14:paraId="16BB3A50" w14:textId="77777777" w:rsidR="00A028E9" w:rsidRPr="001B0451" w:rsidRDefault="00A028E9" w:rsidP="00A028E9">
      <w:pPr>
        <w:spacing w:line="276" w:lineRule="auto"/>
        <w:rPr>
          <w:b/>
          <w:sz w:val="32"/>
          <w:szCs w:val="32"/>
          <w:lang w:val="da-DK"/>
        </w:rPr>
      </w:pPr>
      <w:r w:rsidRPr="001B0451">
        <w:rPr>
          <w:b/>
          <w:sz w:val="32"/>
          <w:szCs w:val="32"/>
          <w:lang w:val="da-DK"/>
        </w:rPr>
        <w:lastRenderedPageBreak/>
        <w:t>REFERENCES</w:t>
      </w:r>
    </w:p>
    <w:p w14:paraId="27B8C6F6" w14:textId="77777777" w:rsidR="00A028E9" w:rsidRPr="0016321D" w:rsidRDefault="00A028E9" w:rsidP="00A028E9">
      <w:pPr>
        <w:pStyle w:val="Bibliography"/>
        <w:rPr>
          <w:rFonts w:ascii="Times New Roman" w:hAnsi="Times New Roman" w:cs="Times New Roman"/>
        </w:rPr>
      </w:pPr>
      <w:r>
        <w:fldChar w:fldCharType="begin"/>
      </w:r>
      <w:r>
        <w:rPr>
          <w:lang w:val="da-DK"/>
        </w:rPr>
        <w:instrText xml:space="preserve"> ADDIN ZOTERO_BIBL {"uncited":[],"omitted":[],"custom":[]} CSL_BIBLIOGRAPHY </w:instrText>
      </w:r>
      <w:r>
        <w:fldChar w:fldCharType="separate"/>
      </w:r>
      <w:r w:rsidRPr="0016321D">
        <w:rPr>
          <w:rFonts w:ascii="Times New Roman" w:hAnsi="Times New Roman" w:cs="Times New Roman"/>
          <w:lang w:val="da-DK"/>
        </w:rPr>
        <w:t xml:space="preserve">1. </w:t>
      </w:r>
      <w:r w:rsidRPr="0016321D">
        <w:rPr>
          <w:rFonts w:ascii="Times New Roman" w:hAnsi="Times New Roman" w:cs="Times New Roman"/>
          <w:lang w:val="da-DK"/>
        </w:rPr>
        <w:tab/>
        <w:t xml:space="preserve">Schmidt M, Schmidt SAJ, Sandegaard JL, Ehrenstein V, Pedersen L, Sørensen HT. </w:t>
      </w:r>
      <w:r w:rsidRPr="0016321D">
        <w:rPr>
          <w:rFonts w:ascii="Times New Roman" w:hAnsi="Times New Roman" w:cs="Times New Roman"/>
        </w:rPr>
        <w:t xml:space="preserve">The Danish National Patient Registry: a review of content, data quality, and research potential. Clin Epidemiol. 2015 Nov 17;7:449–90. </w:t>
      </w:r>
    </w:p>
    <w:p w14:paraId="76B5922C" w14:textId="77777777" w:rsidR="00A028E9" w:rsidRPr="0016321D" w:rsidRDefault="00A028E9" w:rsidP="00A028E9">
      <w:pPr>
        <w:pStyle w:val="Bibliography"/>
        <w:rPr>
          <w:rFonts w:ascii="Times New Roman" w:hAnsi="Times New Roman" w:cs="Times New Roman"/>
        </w:rPr>
      </w:pPr>
      <w:r w:rsidRPr="0016321D">
        <w:rPr>
          <w:rFonts w:ascii="Times New Roman" w:hAnsi="Times New Roman" w:cs="Times New Roman"/>
        </w:rPr>
        <w:t xml:space="preserve">2. </w:t>
      </w:r>
      <w:r w:rsidRPr="0016321D">
        <w:rPr>
          <w:rFonts w:ascii="Times New Roman" w:hAnsi="Times New Roman" w:cs="Times New Roman"/>
        </w:rPr>
        <w:tab/>
        <w:t xml:space="preserve">Thygesen SK, Christiansen CF, Christensen S, Lash TL, Sørensen HT. The predictive value of ICD-10 diagnostic coding used to assess Charlson comorbidity index conditions in the population-based Danish National Registry of Patients. BMC Med Res Methodol. 2011 May 28;11:83. </w:t>
      </w:r>
    </w:p>
    <w:p w14:paraId="2EB594C7" w14:textId="77777777" w:rsidR="00A028E9" w:rsidRPr="0016321D" w:rsidRDefault="00A028E9" w:rsidP="00A028E9">
      <w:pPr>
        <w:pStyle w:val="Bibliography"/>
        <w:rPr>
          <w:rFonts w:ascii="Times New Roman" w:hAnsi="Times New Roman" w:cs="Times New Roman"/>
        </w:rPr>
      </w:pPr>
      <w:r w:rsidRPr="0016321D">
        <w:rPr>
          <w:rFonts w:ascii="Times New Roman" w:hAnsi="Times New Roman" w:cs="Times New Roman"/>
        </w:rPr>
        <w:t xml:space="preserve">3. </w:t>
      </w:r>
      <w:r w:rsidRPr="0016321D">
        <w:rPr>
          <w:rFonts w:ascii="Times New Roman" w:hAnsi="Times New Roman" w:cs="Times New Roman"/>
        </w:rPr>
        <w:tab/>
        <w:t xml:space="preserve">Kildemoes HW, Sørensen HT, Hallas J. The Danish National Prescription Registry. Scand J Public Health. 2011 Jul;39(7 Suppl):38–41. </w:t>
      </w:r>
    </w:p>
    <w:p w14:paraId="07195443" w14:textId="77777777" w:rsidR="00A028E9" w:rsidRPr="0016321D" w:rsidRDefault="00A028E9" w:rsidP="00A028E9">
      <w:pPr>
        <w:pStyle w:val="Bibliography"/>
        <w:rPr>
          <w:rFonts w:ascii="Times New Roman" w:hAnsi="Times New Roman" w:cs="Times New Roman"/>
        </w:rPr>
      </w:pPr>
      <w:r w:rsidRPr="0016321D">
        <w:rPr>
          <w:rFonts w:ascii="Times New Roman" w:hAnsi="Times New Roman" w:cs="Times New Roman"/>
        </w:rPr>
        <w:t xml:space="preserve">4. </w:t>
      </w:r>
      <w:r w:rsidRPr="0016321D">
        <w:rPr>
          <w:rFonts w:ascii="Times New Roman" w:hAnsi="Times New Roman" w:cs="Times New Roman"/>
        </w:rPr>
        <w:tab/>
        <w:t xml:space="preserve">Pedersen CB. The Danish Civil Registration System. Scand J Public Health. 2011 Jul;39(7 Suppl):22–5. </w:t>
      </w:r>
    </w:p>
    <w:p w14:paraId="71C24A21" w14:textId="77777777" w:rsidR="00A028E9" w:rsidRPr="0016321D" w:rsidRDefault="00A028E9" w:rsidP="00A028E9">
      <w:pPr>
        <w:pStyle w:val="Bibliography"/>
        <w:rPr>
          <w:rFonts w:ascii="Times New Roman" w:hAnsi="Times New Roman" w:cs="Times New Roman"/>
        </w:rPr>
      </w:pPr>
      <w:r w:rsidRPr="0016321D">
        <w:rPr>
          <w:rFonts w:ascii="Times New Roman" w:hAnsi="Times New Roman" w:cs="Times New Roman"/>
        </w:rPr>
        <w:t xml:space="preserve">5. </w:t>
      </w:r>
      <w:r w:rsidRPr="0016321D">
        <w:rPr>
          <w:rFonts w:ascii="Times New Roman" w:hAnsi="Times New Roman" w:cs="Times New Roman"/>
        </w:rPr>
        <w:tab/>
        <w:t xml:space="preserve">Modin Daniel, Jørgensen Mads Emil, Gislason Gunnar, Jensen Jan Skov, Køber Lars, Claggett Brian, Hegde Sheila M., Solomon Scott D., Torp-Pedersen Christian, Biering-Sørensen Tor. Influenza Vaccine in Heart Failure. Circulation. 2019 Jan 29;139(5):575–86. </w:t>
      </w:r>
    </w:p>
    <w:p w14:paraId="45A2D23E" w14:textId="77777777" w:rsidR="00A028E9" w:rsidRPr="0016321D" w:rsidRDefault="00A028E9" w:rsidP="00A028E9">
      <w:pPr>
        <w:pStyle w:val="Bibliography"/>
        <w:rPr>
          <w:rFonts w:ascii="Times New Roman" w:hAnsi="Times New Roman" w:cs="Times New Roman"/>
        </w:rPr>
      </w:pPr>
      <w:r w:rsidRPr="0016321D">
        <w:rPr>
          <w:rFonts w:ascii="Times New Roman" w:hAnsi="Times New Roman" w:cs="Times New Roman"/>
        </w:rPr>
        <w:t xml:space="preserve">6. </w:t>
      </w:r>
      <w:r w:rsidRPr="0016321D">
        <w:rPr>
          <w:rFonts w:ascii="Times New Roman" w:hAnsi="Times New Roman" w:cs="Times New Roman"/>
        </w:rPr>
        <w:tab/>
        <w:t xml:space="preserve">Kümler T, Gislason GH, Kirk V, Bay M, Nielsen OW, Køber L, Torp-Pedersen C. Accuracy of a heart failure diagnosis in administrative registers. Eur J Heart Fail. 2008 Jul;10(7):658–60. </w:t>
      </w:r>
    </w:p>
    <w:p w14:paraId="126870EA" w14:textId="77777777" w:rsidR="00A028E9" w:rsidRPr="0016321D" w:rsidRDefault="00A028E9" w:rsidP="00A028E9">
      <w:pPr>
        <w:pStyle w:val="Bibliography"/>
        <w:rPr>
          <w:rFonts w:ascii="Times New Roman" w:hAnsi="Times New Roman" w:cs="Times New Roman"/>
        </w:rPr>
      </w:pPr>
      <w:r w:rsidRPr="0016321D">
        <w:rPr>
          <w:rFonts w:ascii="Times New Roman" w:hAnsi="Times New Roman" w:cs="Times New Roman"/>
        </w:rPr>
        <w:t xml:space="preserve">7. </w:t>
      </w:r>
      <w:r w:rsidRPr="0016321D">
        <w:rPr>
          <w:rFonts w:ascii="Times New Roman" w:hAnsi="Times New Roman" w:cs="Times New Roman"/>
        </w:rPr>
        <w:tab/>
        <w:t xml:space="preserve">Jørgensen ME, Hlatky MA, Køber L, Sanders RD, Torp-Pedersen C, Gislason GH, Jensen PF, Andersson C. β-Blocker–Associated Risks in Patients With Uncomplicated Hypertension Undergoing Noncardiac Surgery. JAMA Intern Med. 2015 Dec 1;175(12):1923–31. </w:t>
      </w:r>
    </w:p>
    <w:p w14:paraId="4BC0730F" w14:textId="77777777" w:rsidR="00A028E9" w:rsidRPr="0016321D" w:rsidRDefault="00A028E9" w:rsidP="00A028E9">
      <w:pPr>
        <w:pStyle w:val="Bibliography"/>
        <w:rPr>
          <w:rFonts w:ascii="Times New Roman" w:hAnsi="Times New Roman" w:cs="Times New Roman"/>
        </w:rPr>
      </w:pPr>
      <w:r w:rsidRPr="0016321D">
        <w:rPr>
          <w:rFonts w:ascii="Times New Roman" w:hAnsi="Times New Roman" w:cs="Times New Roman"/>
        </w:rPr>
        <w:t xml:space="preserve">8. </w:t>
      </w:r>
      <w:r w:rsidRPr="0016321D">
        <w:rPr>
          <w:rFonts w:ascii="Times New Roman" w:hAnsi="Times New Roman" w:cs="Times New Roman"/>
        </w:rPr>
        <w:tab/>
        <w:t xml:space="preserve">Andersson C, Norgaard ML, Hansen PR, Fosbøl EL, Schmiegelow M, Weeke P, Olesen JB, Raunsø J, Jørgensen CH, Vaag A, Køber L, Torp-Pedersen C, Gislason GH. Heart failure severity, as determined by loop diuretic dosages, predicts the risk of developing diabetes after myocardial infarction: a nationwide cohort study. Eur J Heart Fail. 2010 Dec;12(12):1333–8. </w:t>
      </w:r>
    </w:p>
    <w:p w14:paraId="310AED2D" w14:textId="77777777" w:rsidR="00A028E9" w:rsidRPr="0016321D" w:rsidRDefault="00A028E9" w:rsidP="00A028E9">
      <w:pPr>
        <w:pStyle w:val="Bibliography"/>
        <w:rPr>
          <w:rFonts w:ascii="Times New Roman" w:hAnsi="Times New Roman" w:cs="Times New Roman"/>
        </w:rPr>
      </w:pPr>
      <w:r w:rsidRPr="0016321D">
        <w:rPr>
          <w:rFonts w:ascii="Times New Roman" w:hAnsi="Times New Roman" w:cs="Times New Roman"/>
        </w:rPr>
        <w:t xml:space="preserve">9. </w:t>
      </w:r>
      <w:r w:rsidRPr="0016321D">
        <w:rPr>
          <w:rFonts w:ascii="Times New Roman" w:hAnsi="Times New Roman" w:cs="Times New Roman"/>
        </w:rPr>
        <w:tab/>
        <w:t xml:space="preserve">Andersson C, Lyngbæk S, Nguyen CD, Nielsen M, Gislason GH, Køber L, Torp-Pedersen C. Association of clopidogrel treatment with risk of mortality and cardiovascular events following myocardial infarction in patients with and without diabetes. JAMA. 2012 Sep 5;308(9):882–9. </w:t>
      </w:r>
    </w:p>
    <w:p w14:paraId="0B39B250" w14:textId="77777777" w:rsidR="00A028E9" w:rsidRPr="006E5DD3" w:rsidRDefault="00A028E9" w:rsidP="00A028E9">
      <w:r>
        <w:fldChar w:fldCharType="end"/>
      </w:r>
    </w:p>
    <w:p w14:paraId="2C2807AD" w14:textId="77777777" w:rsidR="00A028E9" w:rsidRPr="00F4066E" w:rsidRDefault="00A028E9" w:rsidP="003415F7">
      <w:pPr>
        <w:spacing w:line="276" w:lineRule="auto"/>
        <w:jc w:val="both"/>
        <w:outlineLvl w:val="0"/>
      </w:pPr>
    </w:p>
    <w:p w14:paraId="5C5CAA1B" w14:textId="77777777" w:rsidR="00772F70" w:rsidRDefault="00772F70" w:rsidP="003415F7">
      <w:pPr>
        <w:spacing w:line="276" w:lineRule="auto"/>
        <w:jc w:val="both"/>
        <w:outlineLvl w:val="0"/>
        <w:rPr>
          <w:color w:val="000000" w:themeColor="text1"/>
        </w:rPr>
      </w:pPr>
    </w:p>
    <w:p w14:paraId="66D051D1" w14:textId="77777777" w:rsidR="00E317CB" w:rsidRDefault="00E317CB" w:rsidP="003415F7">
      <w:pPr>
        <w:spacing w:line="276" w:lineRule="auto"/>
        <w:jc w:val="both"/>
        <w:outlineLvl w:val="0"/>
        <w:rPr>
          <w:b/>
          <w:color w:val="000000" w:themeColor="text1"/>
        </w:rPr>
      </w:pPr>
    </w:p>
    <w:p w14:paraId="076E955C" w14:textId="77777777" w:rsidR="00C24074" w:rsidRPr="009C06CD" w:rsidRDefault="00C24074" w:rsidP="00C33B0F">
      <w:pPr>
        <w:spacing w:line="276" w:lineRule="auto"/>
        <w:rPr>
          <w:color w:val="000000" w:themeColor="text1"/>
        </w:rPr>
      </w:pPr>
    </w:p>
    <w:p w14:paraId="386491E9" w14:textId="77777777" w:rsidR="00C24074" w:rsidRPr="009C06CD" w:rsidRDefault="00C24074" w:rsidP="003415F7">
      <w:pPr>
        <w:spacing w:line="276" w:lineRule="auto"/>
        <w:jc w:val="both"/>
        <w:rPr>
          <w:color w:val="000000" w:themeColor="text1"/>
          <w:sz w:val="32"/>
          <w:szCs w:val="32"/>
        </w:rPr>
        <w:sectPr w:rsidR="00C24074" w:rsidRPr="009C06CD" w:rsidSect="002E7FAE">
          <w:pgSz w:w="12240" w:h="20160" w:code="5"/>
          <w:pgMar w:top="1701" w:right="1134" w:bottom="1701" w:left="1134" w:header="708" w:footer="708" w:gutter="0"/>
          <w:cols w:space="708"/>
          <w:docGrid w:linePitch="360"/>
        </w:sectPr>
      </w:pPr>
    </w:p>
    <w:p w14:paraId="7127CCC1" w14:textId="66031077" w:rsidR="00936F34" w:rsidRPr="00F4066E" w:rsidRDefault="00936F34" w:rsidP="003415F7">
      <w:pPr>
        <w:spacing w:line="276" w:lineRule="auto"/>
        <w:rPr>
          <w:b/>
          <w:sz w:val="32"/>
          <w:szCs w:val="32"/>
        </w:rPr>
      </w:pPr>
      <w:r w:rsidRPr="00F4066E">
        <w:rPr>
          <w:b/>
          <w:sz w:val="32"/>
          <w:szCs w:val="32"/>
        </w:rPr>
        <w:lastRenderedPageBreak/>
        <w:t>SUPPLEMENTAL TABLES</w:t>
      </w:r>
    </w:p>
    <w:p w14:paraId="1EE708EB" w14:textId="77777777" w:rsidR="00936F34" w:rsidRPr="00F4066E" w:rsidRDefault="00936F34" w:rsidP="003415F7">
      <w:pPr>
        <w:spacing w:line="276" w:lineRule="auto"/>
        <w:rPr>
          <w:b/>
        </w:rPr>
      </w:pPr>
    </w:p>
    <w:p w14:paraId="7DCF0574" w14:textId="0A4640C9" w:rsidR="00F32447" w:rsidRPr="00F4066E" w:rsidRDefault="007B5278" w:rsidP="003415F7">
      <w:pPr>
        <w:spacing w:line="276" w:lineRule="auto"/>
      </w:pPr>
      <w:r w:rsidRPr="00F4066E">
        <w:rPr>
          <w:b/>
        </w:rPr>
        <w:t xml:space="preserve">Table S1. </w:t>
      </w:r>
      <w:r w:rsidR="00E95A1D" w:rsidRPr="00F4066E">
        <w:t>Nationwide registries used in the present</w:t>
      </w:r>
      <w:r w:rsidRPr="00F4066E">
        <w:t xml:space="preserve"> study </w:t>
      </w:r>
    </w:p>
    <w:p w14:paraId="6C8A18A9" w14:textId="77777777" w:rsidR="007B5278" w:rsidRPr="00F4066E" w:rsidRDefault="007B5278" w:rsidP="003415F7">
      <w:pPr>
        <w:spacing w:line="276" w:lineRule="auto"/>
      </w:pPr>
    </w:p>
    <w:tbl>
      <w:tblPr>
        <w:tblW w:w="14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2577"/>
        <w:gridCol w:w="2518"/>
        <w:gridCol w:w="2585"/>
        <w:gridCol w:w="2410"/>
        <w:gridCol w:w="3118"/>
      </w:tblGrid>
      <w:tr w:rsidR="00257119" w:rsidRPr="00F4066E" w14:paraId="7694CB78" w14:textId="07B51F19" w:rsidTr="00811A1F">
        <w:trPr>
          <w:trHeight w:val="365"/>
        </w:trPr>
        <w:tc>
          <w:tcPr>
            <w:tcW w:w="1566" w:type="dxa"/>
            <w:vAlign w:val="center"/>
          </w:tcPr>
          <w:p w14:paraId="2A36632B" w14:textId="3D34E0B3" w:rsidR="007B5278" w:rsidRPr="00F4066E" w:rsidRDefault="007B5278" w:rsidP="003415F7">
            <w:pPr>
              <w:spacing w:line="276" w:lineRule="auto"/>
              <w:jc w:val="center"/>
              <w:rPr>
                <w:rFonts w:eastAsia="Times New Roman"/>
                <w:color w:val="000000" w:themeColor="text1"/>
              </w:rPr>
            </w:pPr>
          </w:p>
        </w:tc>
        <w:tc>
          <w:tcPr>
            <w:tcW w:w="2577" w:type="dxa"/>
            <w:vAlign w:val="center"/>
          </w:tcPr>
          <w:p w14:paraId="7B4FFC8A" w14:textId="51B81792" w:rsidR="007B5278" w:rsidRPr="00F4066E" w:rsidRDefault="007B5278" w:rsidP="003415F7">
            <w:pPr>
              <w:spacing w:line="276" w:lineRule="auto"/>
              <w:jc w:val="center"/>
              <w:rPr>
                <w:rFonts w:eastAsia="Times New Roman"/>
                <w:b/>
                <w:color w:val="000000" w:themeColor="text1"/>
              </w:rPr>
            </w:pPr>
            <w:r w:rsidRPr="00F4066E">
              <w:rPr>
                <w:rFonts w:eastAsia="Times New Roman"/>
                <w:b/>
                <w:color w:val="000000" w:themeColor="text1"/>
              </w:rPr>
              <w:t>National Patient Registry</w:t>
            </w:r>
          </w:p>
        </w:tc>
        <w:tc>
          <w:tcPr>
            <w:tcW w:w="2518" w:type="dxa"/>
            <w:vAlign w:val="center"/>
          </w:tcPr>
          <w:p w14:paraId="469828A7" w14:textId="7E106572" w:rsidR="007B5278" w:rsidRPr="00F4066E" w:rsidRDefault="007B5278" w:rsidP="003415F7">
            <w:pPr>
              <w:spacing w:line="276" w:lineRule="auto"/>
              <w:jc w:val="center"/>
              <w:rPr>
                <w:rFonts w:eastAsia="Times New Roman"/>
                <w:b/>
                <w:color w:val="000000" w:themeColor="text1"/>
              </w:rPr>
            </w:pPr>
            <w:r w:rsidRPr="00F4066E">
              <w:rPr>
                <w:rFonts w:eastAsia="Times New Roman"/>
                <w:b/>
                <w:color w:val="000000" w:themeColor="text1"/>
              </w:rPr>
              <w:t>National Prescription Registry</w:t>
            </w:r>
          </w:p>
        </w:tc>
        <w:tc>
          <w:tcPr>
            <w:tcW w:w="2585" w:type="dxa"/>
            <w:vAlign w:val="center"/>
          </w:tcPr>
          <w:p w14:paraId="61E63B81" w14:textId="5610B9F4" w:rsidR="007B5278" w:rsidRPr="00F4066E" w:rsidRDefault="007B5278" w:rsidP="003415F7">
            <w:pPr>
              <w:spacing w:line="276" w:lineRule="auto"/>
              <w:jc w:val="center"/>
              <w:rPr>
                <w:rFonts w:eastAsia="Times New Roman"/>
                <w:b/>
                <w:color w:val="000000" w:themeColor="text1"/>
              </w:rPr>
            </w:pPr>
            <w:r w:rsidRPr="00F4066E">
              <w:rPr>
                <w:rFonts w:eastAsia="Times New Roman"/>
                <w:b/>
                <w:color w:val="000000" w:themeColor="text1"/>
              </w:rPr>
              <w:t>National Population Registry</w:t>
            </w:r>
          </w:p>
        </w:tc>
        <w:tc>
          <w:tcPr>
            <w:tcW w:w="2410" w:type="dxa"/>
            <w:vAlign w:val="center"/>
          </w:tcPr>
          <w:p w14:paraId="5885C111" w14:textId="5ABAA313" w:rsidR="007B5278" w:rsidRPr="00F4066E" w:rsidRDefault="007B5278" w:rsidP="003415F7">
            <w:pPr>
              <w:spacing w:line="276" w:lineRule="auto"/>
              <w:jc w:val="center"/>
              <w:rPr>
                <w:rFonts w:eastAsia="Times New Roman"/>
                <w:b/>
                <w:color w:val="000000" w:themeColor="text1"/>
              </w:rPr>
            </w:pPr>
            <w:r w:rsidRPr="00F4066E">
              <w:rPr>
                <w:rFonts w:eastAsia="Times New Roman"/>
                <w:b/>
                <w:color w:val="000000" w:themeColor="text1"/>
              </w:rPr>
              <w:t>National Cause of Death Registry</w:t>
            </w:r>
          </w:p>
        </w:tc>
        <w:tc>
          <w:tcPr>
            <w:tcW w:w="3118" w:type="dxa"/>
            <w:shd w:val="clear" w:color="auto" w:fill="auto"/>
            <w:noWrap/>
            <w:vAlign w:val="center"/>
          </w:tcPr>
          <w:p w14:paraId="03873F51" w14:textId="450EFD26" w:rsidR="007B5278" w:rsidRPr="00F4066E" w:rsidRDefault="007B5278" w:rsidP="003415F7">
            <w:pPr>
              <w:spacing w:line="276" w:lineRule="auto"/>
              <w:jc w:val="center"/>
              <w:rPr>
                <w:rFonts w:eastAsia="Times New Roman"/>
                <w:b/>
                <w:color w:val="000000" w:themeColor="text1"/>
              </w:rPr>
            </w:pPr>
            <w:r w:rsidRPr="00F4066E">
              <w:rPr>
                <w:rFonts w:eastAsia="Times New Roman"/>
                <w:b/>
                <w:color w:val="000000" w:themeColor="text1"/>
              </w:rPr>
              <w:t>National General Practitioners Reimbursement Registry</w:t>
            </w:r>
          </w:p>
        </w:tc>
      </w:tr>
      <w:tr w:rsidR="00257119" w:rsidRPr="00F4066E" w14:paraId="08DB2715" w14:textId="772178D8" w:rsidTr="00811A1F">
        <w:trPr>
          <w:trHeight w:val="868"/>
        </w:trPr>
        <w:tc>
          <w:tcPr>
            <w:tcW w:w="1566" w:type="dxa"/>
            <w:vAlign w:val="center"/>
          </w:tcPr>
          <w:p w14:paraId="56AAEC27" w14:textId="6B126E33" w:rsidR="007B5278" w:rsidRPr="00F4066E" w:rsidRDefault="007B5278" w:rsidP="003415F7">
            <w:pPr>
              <w:spacing w:line="276" w:lineRule="auto"/>
              <w:jc w:val="center"/>
              <w:rPr>
                <w:rFonts w:eastAsia="Times New Roman"/>
                <w:b/>
                <w:color w:val="000000" w:themeColor="text1"/>
              </w:rPr>
            </w:pPr>
            <w:r w:rsidRPr="00F4066E">
              <w:rPr>
                <w:rFonts w:eastAsia="Times New Roman"/>
                <w:b/>
                <w:color w:val="000000" w:themeColor="text1"/>
              </w:rPr>
              <w:t>Created and established</w:t>
            </w:r>
          </w:p>
        </w:tc>
        <w:tc>
          <w:tcPr>
            <w:tcW w:w="2577" w:type="dxa"/>
            <w:vAlign w:val="center"/>
          </w:tcPr>
          <w:p w14:paraId="31AF1A13" w14:textId="65E6A3CD" w:rsidR="007B5278" w:rsidRPr="00F4066E" w:rsidRDefault="00061C6B" w:rsidP="003415F7">
            <w:pPr>
              <w:spacing w:line="276" w:lineRule="auto"/>
              <w:jc w:val="center"/>
              <w:rPr>
                <w:rFonts w:eastAsia="Times New Roman"/>
                <w:color w:val="000000" w:themeColor="text1"/>
              </w:rPr>
            </w:pPr>
            <w:r w:rsidRPr="00F4066E">
              <w:rPr>
                <w:rFonts w:eastAsia="Times New Roman"/>
                <w:color w:val="000000" w:themeColor="text1"/>
              </w:rPr>
              <w:t>1977</w:t>
            </w:r>
          </w:p>
        </w:tc>
        <w:tc>
          <w:tcPr>
            <w:tcW w:w="2518" w:type="dxa"/>
            <w:vAlign w:val="center"/>
          </w:tcPr>
          <w:p w14:paraId="25880952" w14:textId="1FBC895A" w:rsidR="007B5278" w:rsidRPr="00F4066E" w:rsidRDefault="001265ED" w:rsidP="003415F7">
            <w:pPr>
              <w:spacing w:line="276" w:lineRule="auto"/>
              <w:jc w:val="center"/>
              <w:rPr>
                <w:rFonts w:eastAsia="Times New Roman"/>
                <w:color w:val="000000" w:themeColor="text1"/>
              </w:rPr>
            </w:pPr>
            <w:r w:rsidRPr="00F4066E">
              <w:rPr>
                <w:rFonts w:eastAsia="Times New Roman"/>
                <w:color w:val="000000" w:themeColor="text1"/>
              </w:rPr>
              <w:t>199</w:t>
            </w:r>
            <w:r w:rsidR="00381B63" w:rsidRPr="00F4066E">
              <w:rPr>
                <w:rFonts w:eastAsia="Times New Roman"/>
                <w:color w:val="000000" w:themeColor="text1"/>
              </w:rPr>
              <w:t>5</w:t>
            </w:r>
          </w:p>
        </w:tc>
        <w:tc>
          <w:tcPr>
            <w:tcW w:w="2585" w:type="dxa"/>
            <w:vAlign w:val="center"/>
          </w:tcPr>
          <w:p w14:paraId="7B4A7F97" w14:textId="3B6AE433" w:rsidR="007B5278" w:rsidRPr="00F4066E" w:rsidRDefault="00617787" w:rsidP="003415F7">
            <w:pPr>
              <w:spacing w:line="276" w:lineRule="auto"/>
              <w:jc w:val="center"/>
              <w:rPr>
                <w:rFonts w:eastAsia="Times New Roman"/>
                <w:color w:val="000000" w:themeColor="text1"/>
              </w:rPr>
            </w:pPr>
            <w:r w:rsidRPr="00F4066E">
              <w:rPr>
                <w:rFonts w:eastAsia="Times New Roman"/>
                <w:color w:val="000000" w:themeColor="text1"/>
              </w:rPr>
              <w:t>1976</w:t>
            </w:r>
          </w:p>
        </w:tc>
        <w:tc>
          <w:tcPr>
            <w:tcW w:w="2410" w:type="dxa"/>
            <w:vAlign w:val="center"/>
          </w:tcPr>
          <w:p w14:paraId="740DCFD2" w14:textId="3FC0B058" w:rsidR="007B5278" w:rsidRPr="00F4066E" w:rsidRDefault="001A3FFE" w:rsidP="003415F7">
            <w:pPr>
              <w:spacing w:line="276" w:lineRule="auto"/>
              <w:jc w:val="center"/>
              <w:rPr>
                <w:rFonts w:eastAsia="Times New Roman"/>
                <w:color w:val="000000" w:themeColor="text1"/>
              </w:rPr>
            </w:pPr>
            <w:r w:rsidRPr="00F4066E">
              <w:rPr>
                <w:rFonts w:eastAsia="Times New Roman"/>
                <w:color w:val="000000" w:themeColor="text1"/>
              </w:rPr>
              <w:t>1970</w:t>
            </w:r>
          </w:p>
        </w:tc>
        <w:tc>
          <w:tcPr>
            <w:tcW w:w="3118" w:type="dxa"/>
            <w:shd w:val="clear" w:color="auto" w:fill="auto"/>
            <w:noWrap/>
            <w:vAlign w:val="center"/>
          </w:tcPr>
          <w:p w14:paraId="763275B9" w14:textId="0EC14448" w:rsidR="007B5278" w:rsidRPr="00F4066E" w:rsidRDefault="00617787" w:rsidP="003415F7">
            <w:pPr>
              <w:spacing w:line="276" w:lineRule="auto"/>
              <w:jc w:val="center"/>
              <w:rPr>
                <w:rFonts w:eastAsia="Times New Roman"/>
                <w:color w:val="000000" w:themeColor="text1"/>
              </w:rPr>
            </w:pPr>
            <w:r w:rsidRPr="00F4066E">
              <w:rPr>
                <w:rFonts w:eastAsia="Times New Roman"/>
                <w:color w:val="000000" w:themeColor="text1"/>
              </w:rPr>
              <w:t>1990</w:t>
            </w:r>
          </w:p>
        </w:tc>
      </w:tr>
      <w:tr w:rsidR="00257119" w:rsidRPr="00F4066E" w14:paraId="6AC0674C" w14:textId="3AEC8340" w:rsidTr="00811A1F">
        <w:trPr>
          <w:trHeight w:val="2095"/>
        </w:trPr>
        <w:tc>
          <w:tcPr>
            <w:tcW w:w="1566" w:type="dxa"/>
            <w:vAlign w:val="center"/>
          </w:tcPr>
          <w:p w14:paraId="3EA2806C" w14:textId="27654A23" w:rsidR="007B5278" w:rsidRPr="00F4066E" w:rsidRDefault="00617787" w:rsidP="003415F7">
            <w:pPr>
              <w:spacing w:line="276" w:lineRule="auto"/>
              <w:jc w:val="center"/>
              <w:rPr>
                <w:rFonts w:eastAsia="Times New Roman"/>
                <w:b/>
                <w:color w:val="000000" w:themeColor="text1"/>
              </w:rPr>
            </w:pPr>
            <w:r w:rsidRPr="00F4066E">
              <w:rPr>
                <w:rFonts w:eastAsia="Times New Roman"/>
                <w:b/>
                <w:color w:val="000000" w:themeColor="text1"/>
              </w:rPr>
              <w:t>Examples of data in the registries</w:t>
            </w:r>
          </w:p>
        </w:tc>
        <w:tc>
          <w:tcPr>
            <w:tcW w:w="2577" w:type="dxa"/>
            <w:vAlign w:val="center"/>
          </w:tcPr>
          <w:p w14:paraId="47F04812" w14:textId="6558F9F8" w:rsidR="007B5278" w:rsidRPr="00F4066E" w:rsidRDefault="006A0D58" w:rsidP="003415F7">
            <w:pPr>
              <w:spacing w:line="276" w:lineRule="auto"/>
              <w:jc w:val="center"/>
              <w:rPr>
                <w:rFonts w:eastAsia="Times New Roman"/>
                <w:color w:val="000000" w:themeColor="text1"/>
              </w:rPr>
            </w:pPr>
            <w:r w:rsidRPr="00F4066E">
              <w:rPr>
                <w:rFonts w:eastAsia="Times New Roman"/>
                <w:color w:val="000000" w:themeColor="text1"/>
              </w:rPr>
              <w:t>Hospital diagnoses, h</w:t>
            </w:r>
            <w:r w:rsidR="00617787" w:rsidRPr="00F4066E">
              <w:rPr>
                <w:rFonts w:eastAsia="Times New Roman"/>
                <w:color w:val="000000" w:themeColor="text1"/>
              </w:rPr>
              <w:t>ospital contacts, procedure codes</w:t>
            </w:r>
          </w:p>
        </w:tc>
        <w:tc>
          <w:tcPr>
            <w:tcW w:w="2518" w:type="dxa"/>
            <w:vAlign w:val="center"/>
          </w:tcPr>
          <w:p w14:paraId="6809B92C" w14:textId="7B0E14EB" w:rsidR="007B5278" w:rsidRPr="00F4066E" w:rsidRDefault="00617787" w:rsidP="003415F7">
            <w:pPr>
              <w:spacing w:line="276" w:lineRule="auto"/>
              <w:jc w:val="center"/>
              <w:rPr>
                <w:rFonts w:eastAsia="Times New Roman"/>
                <w:color w:val="000000" w:themeColor="text1"/>
              </w:rPr>
            </w:pPr>
            <w:r w:rsidRPr="00F4066E">
              <w:rPr>
                <w:rFonts w:eastAsia="Times New Roman"/>
                <w:color w:val="000000" w:themeColor="text1"/>
              </w:rPr>
              <w:t xml:space="preserve">Filled </w:t>
            </w:r>
            <w:r w:rsidR="00B152D8" w:rsidRPr="00F4066E">
              <w:rPr>
                <w:rFonts w:eastAsia="Times New Roman"/>
                <w:color w:val="000000" w:themeColor="text1"/>
              </w:rPr>
              <w:t>prescriptions</w:t>
            </w:r>
            <w:r w:rsidRPr="00F4066E">
              <w:rPr>
                <w:rFonts w:eastAsia="Times New Roman"/>
                <w:color w:val="000000" w:themeColor="text1"/>
              </w:rPr>
              <w:t xml:space="preserve"> for all Danish citizens</w:t>
            </w:r>
          </w:p>
        </w:tc>
        <w:tc>
          <w:tcPr>
            <w:tcW w:w="2585" w:type="dxa"/>
            <w:vAlign w:val="center"/>
          </w:tcPr>
          <w:p w14:paraId="51C2808F" w14:textId="0F27703E" w:rsidR="007B5278" w:rsidRPr="00F4066E" w:rsidRDefault="006914A4" w:rsidP="003415F7">
            <w:pPr>
              <w:spacing w:line="276" w:lineRule="auto"/>
              <w:jc w:val="center"/>
              <w:rPr>
                <w:rFonts w:eastAsia="Times New Roman"/>
                <w:color w:val="000000" w:themeColor="text1"/>
              </w:rPr>
            </w:pPr>
            <w:r w:rsidRPr="00F4066E">
              <w:rPr>
                <w:rFonts w:eastAsia="Times New Roman"/>
                <w:color w:val="000000" w:themeColor="text1"/>
              </w:rPr>
              <w:t>Date of birth, sex, emigration status</w:t>
            </w:r>
            <w:r w:rsidR="00B152D8" w:rsidRPr="00F4066E">
              <w:rPr>
                <w:rFonts w:eastAsia="Times New Roman"/>
                <w:color w:val="000000" w:themeColor="text1"/>
              </w:rPr>
              <w:t>, household income and education level</w:t>
            </w:r>
          </w:p>
        </w:tc>
        <w:tc>
          <w:tcPr>
            <w:tcW w:w="2410" w:type="dxa"/>
            <w:vAlign w:val="center"/>
          </w:tcPr>
          <w:p w14:paraId="2DCAD799" w14:textId="277EEFAC" w:rsidR="007B5278" w:rsidRPr="00F4066E" w:rsidRDefault="006914A4" w:rsidP="003415F7">
            <w:pPr>
              <w:spacing w:line="276" w:lineRule="auto"/>
              <w:jc w:val="center"/>
              <w:rPr>
                <w:rFonts w:eastAsia="Times New Roman"/>
                <w:color w:val="000000" w:themeColor="text1"/>
              </w:rPr>
            </w:pPr>
            <w:r w:rsidRPr="00F4066E">
              <w:rPr>
                <w:rFonts w:eastAsia="Times New Roman"/>
                <w:color w:val="000000" w:themeColor="text1"/>
              </w:rPr>
              <w:t>Time and cause of death</w:t>
            </w:r>
          </w:p>
        </w:tc>
        <w:tc>
          <w:tcPr>
            <w:tcW w:w="3118" w:type="dxa"/>
            <w:shd w:val="clear" w:color="auto" w:fill="auto"/>
            <w:noWrap/>
            <w:vAlign w:val="center"/>
          </w:tcPr>
          <w:p w14:paraId="7B258DDE" w14:textId="5E7A4801" w:rsidR="007B5278" w:rsidRPr="00F4066E" w:rsidRDefault="006914A4" w:rsidP="003415F7">
            <w:pPr>
              <w:spacing w:line="276" w:lineRule="auto"/>
              <w:jc w:val="center"/>
              <w:rPr>
                <w:rFonts w:eastAsia="Times New Roman"/>
                <w:color w:val="000000" w:themeColor="text1"/>
              </w:rPr>
            </w:pPr>
            <w:r w:rsidRPr="00F4066E">
              <w:rPr>
                <w:rFonts w:eastAsia="Times New Roman"/>
                <w:color w:val="000000" w:themeColor="text1"/>
              </w:rPr>
              <w:t>T</w:t>
            </w:r>
            <w:r w:rsidR="00B152D8" w:rsidRPr="00F4066E">
              <w:rPr>
                <w:rFonts w:eastAsia="Times New Roman"/>
                <w:color w:val="000000" w:themeColor="text1"/>
              </w:rPr>
              <w:t>ype</w:t>
            </w:r>
            <w:r w:rsidRPr="00F4066E">
              <w:rPr>
                <w:rFonts w:eastAsia="Times New Roman"/>
                <w:color w:val="000000" w:themeColor="text1"/>
              </w:rPr>
              <w:t xml:space="preserve"> and time of administration of all services in the general practice sector</w:t>
            </w:r>
            <w:r w:rsidR="00B152D8" w:rsidRPr="00F4066E">
              <w:rPr>
                <w:rFonts w:eastAsia="Times New Roman"/>
                <w:color w:val="000000" w:themeColor="text1"/>
              </w:rPr>
              <w:t xml:space="preserve"> </w:t>
            </w:r>
          </w:p>
        </w:tc>
      </w:tr>
      <w:tr w:rsidR="00257119" w:rsidRPr="00F4066E" w14:paraId="7921AA42" w14:textId="04F4803E" w:rsidTr="00811A1F">
        <w:trPr>
          <w:trHeight w:val="927"/>
        </w:trPr>
        <w:tc>
          <w:tcPr>
            <w:tcW w:w="1566" w:type="dxa"/>
            <w:vAlign w:val="center"/>
          </w:tcPr>
          <w:p w14:paraId="0DDEE9C2" w14:textId="20334918" w:rsidR="007B5278" w:rsidRPr="00F4066E" w:rsidRDefault="00617787" w:rsidP="003415F7">
            <w:pPr>
              <w:spacing w:line="276" w:lineRule="auto"/>
              <w:jc w:val="center"/>
              <w:rPr>
                <w:rFonts w:eastAsia="Times New Roman"/>
                <w:b/>
                <w:color w:val="000000" w:themeColor="text1"/>
              </w:rPr>
            </w:pPr>
            <w:r w:rsidRPr="00F4066E">
              <w:rPr>
                <w:rFonts w:eastAsia="Times New Roman"/>
                <w:b/>
                <w:color w:val="000000" w:themeColor="text1"/>
              </w:rPr>
              <w:t>Coding</w:t>
            </w:r>
          </w:p>
        </w:tc>
        <w:tc>
          <w:tcPr>
            <w:tcW w:w="2577" w:type="dxa"/>
            <w:vAlign w:val="center"/>
          </w:tcPr>
          <w:p w14:paraId="3A984309" w14:textId="5EC4D5D8" w:rsidR="007B5278" w:rsidRPr="00F4066E" w:rsidRDefault="00617787" w:rsidP="003415F7">
            <w:pPr>
              <w:spacing w:line="276" w:lineRule="auto"/>
              <w:jc w:val="center"/>
              <w:rPr>
                <w:rFonts w:eastAsia="Times New Roman"/>
                <w:color w:val="000000" w:themeColor="text1"/>
              </w:rPr>
            </w:pPr>
            <w:r w:rsidRPr="00F4066E">
              <w:rPr>
                <w:rFonts w:eastAsia="Times New Roman"/>
                <w:color w:val="000000" w:themeColor="text1"/>
              </w:rPr>
              <w:t xml:space="preserve">ICD-10 </w:t>
            </w:r>
          </w:p>
        </w:tc>
        <w:tc>
          <w:tcPr>
            <w:tcW w:w="2518" w:type="dxa"/>
            <w:vAlign w:val="center"/>
          </w:tcPr>
          <w:p w14:paraId="7E509678" w14:textId="5C93336D" w:rsidR="007B5278" w:rsidRPr="00F4066E" w:rsidRDefault="00490BA1" w:rsidP="003415F7">
            <w:pPr>
              <w:spacing w:line="276" w:lineRule="auto"/>
              <w:jc w:val="center"/>
              <w:rPr>
                <w:rFonts w:eastAsia="Times New Roman"/>
                <w:color w:val="000000" w:themeColor="text1"/>
              </w:rPr>
            </w:pPr>
            <w:r w:rsidRPr="00F4066E">
              <w:rPr>
                <w:rFonts w:eastAsia="Times New Roman"/>
                <w:color w:val="000000" w:themeColor="text1"/>
              </w:rPr>
              <w:t>ATC-codes</w:t>
            </w:r>
          </w:p>
        </w:tc>
        <w:tc>
          <w:tcPr>
            <w:tcW w:w="2585" w:type="dxa"/>
            <w:vAlign w:val="center"/>
          </w:tcPr>
          <w:p w14:paraId="654AD367" w14:textId="4BBD73EC" w:rsidR="007B5278" w:rsidRPr="00F4066E" w:rsidRDefault="006914A4" w:rsidP="003415F7">
            <w:pPr>
              <w:spacing w:line="276" w:lineRule="auto"/>
              <w:jc w:val="center"/>
              <w:rPr>
                <w:rFonts w:eastAsia="Times New Roman"/>
                <w:color w:val="000000" w:themeColor="text1"/>
              </w:rPr>
            </w:pPr>
            <w:r w:rsidRPr="00F4066E">
              <w:rPr>
                <w:rFonts w:eastAsia="Times New Roman"/>
                <w:color w:val="000000" w:themeColor="text1"/>
              </w:rPr>
              <w:t>N/A</w:t>
            </w:r>
          </w:p>
        </w:tc>
        <w:tc>
          <w:tcPr>
            <w:tcW w:w="2410" w:type="dxa"/>
            <w:vAlign w:val="center"/>
          </w:tcPr>
          <w:p w14:paraId="029D0D55" w14:textId="404C9569" w:rsidR="007B5278" w:rsidRPr="00F4066E" w:rsidRDefault="006914A4" w:rsidP="003415F7">
            <w:pPr>
              <w:spacing w:line="276" w:lineRule="auto"/>
              <w:jc w:val="center"/>
              <w:rPr>
                <w:rFonts w:eastAsia="Times New Roman"/>
                <w:color w:val="000000" w:themeColor="text1"/>
              </w:rPr>
            </w:pPr>
            <w:r w:rsidRPr="00F4066E">
              <w:rPr>
                <w:rFonts w:eastAsia="Times New Roman"/>
                <w:color w:val="000000" w:themeColor="text1"/>
              </w:rPr>
              <w:t xml:space="preserve">ICD-10 </w:t>
            </w:r>
          </w:p>
        </w:tc>
        <w:tc>
          <w:tcPr>
            <w:tcW w:w="3118" w:type="dxa"/>
            <w:shd w:val="clear" w:color="auto" w:fill="auto"/>
            <w:noWrap/>
            <w:vAlign w:val="center"/>
          </w:tcPr>
          <w:p w14:paraId="3BBA6782" w14:textId="41A99013" w:rsidR="007B5278" w:rsidRPr="00F4066E" w:rsidRDefault="006914A4" w:rsidP="003415F7">
            <w:pPr>
              <w:spacing w:line="276" w:lineRule="auto"/>
              <w:jc w:val="center"/>
              <w:rPr>
                <w:rFonts w:eastAsia="Times New Roman"/>
                <w:color w:val="000000" w:themeColor="text1"/>
              </w:rPr>
            </w:pPr>
            <w:r w:rsidRPr="00F4066E">
              <w:rPr>
                <w:rFonts w:eastAsia="Times New Roman"/>
                <w:color w:val="000000" w:themeColor="text1"/>
              </w:rPr>
              <w:t xml:space="preserve">Unique </w:t>
            </w:r>
            <w:r w:rsidR="00096D70" w:rsidRPr="00F4066E">
              <w:rPr>
                <w:rFonts w:eastAsia="Times New Roman"/>
                <w:color w:val="000000" w:themeColor="text1"/>
              </w:rPr>
              <w:t>governmental r</w:t>
            </w:r>
            <w:r w:rsidRPr="00F4066E">
              <w:rPr>
                <w:rFonts w:eastAsia="Times New Roman"/>
                <w:color w:val="000000" w:themeColor="text1"/>
              </w:rPr>
              <w:t xml:space="preserve">eimbursement codes </w:t>
            </w:r>
          </w:p>
        </w:tc>
      </w:tr>
      <w:tr w:rsidR="00257119" w:rsidRPr="00F4066E" w14:paraId="5F0EE432" w14:textId="69DD0562" w:rsidTr="00811A1F">
        <w:trPr>
          <w:trHeight w:val="1759"/>
        </w:trPr>
        <w:tc>
          <w:tcPr>
            <w:tcW w:w="1566" w:type="dxa"/>
            <w:vAlign w:val="center"/>
          </w:tcPr>
          <w:p w14:paraId="213A8D18" w14:textId="66456458" w:rsidR="007B5278" w:rsidRPr="00F4066E" w:rsidRDefault="00B152D8" w:rsidP="003415F7">
            <w:pPr>
              <w:spacing w:line="276" w:lineRule="auto"/>
              <w:jc w:val="center"/>
              <w:rPr>
                <w:rFonts w:eastAsia="Times New Roman"/>
                <w:b/>
                <w:color w:val="000000" w:themeColor="text1"/>
              </w:rPr>
            </w:pPr>
            <w:r w:rsidRPr="00F4066E">
              <w:rPr>
                <w:rFonts w:eastAsia="Times New Roman"/>
                <w:b/>
                <w:color w:val="000000" w:themeColor="text1"/>
              </w:rPr>
              <w:t>Data used in the present study</w:t>
            </w:r>
          </w:p>
        </w:tc>
        <w:tc>
          <w:tcPr>
            <w:tcW w:w="2577" w:type="dxa"/>
            <w:vAlign w:val="center"/>
          </w:tcPr>
          <w:p w14:paraId="234DE8E5" w14:textId="53782598" w:rsidR="007B5278" w:rsidRPr="00F4066E" w:rsidRDefault="003A63AB" w:rsidP="003415F7">
            <w:pPr>
              <w:spacing w:line="276" w:lineRule="auto"/>
              <w:jc w:val="center"/>
              <w:rPr>
                <w:rFonts w:eastAsia="Times New Roman"/>
                <w:color w:val="000000" w:themeColor="text1"/>
              </w:rPr>
            </w:pPr>
            <w:r>
              <w:rPr>
                <w:rFonts w:eastAsia="Times New Roman"/>
                <w:color w:val="000000" w:themeColor="text1"/>
              </w:rPr>
              <w:t>Patient c</w:t>
            </w:r>
            <w:r w:rsidR="00B152D8" w:rsidRPr="00F4066E">
              <w:rPr>
                <w:rFonts w:eastAsia="Times New Roman"/>
                <w:color w:val="000000" w:themeColor="text1"/>
              </w:rPr>
              <w:t>omorbidities</w:t>
            </w:r>
            <w:r w:rsidR="00F50F61" w:rsidRPr="00F4066E">
              <w:rPr>
                <w:rFonts w:eastAsia="Times New Roman"/>
                <w:color w:val="000000" w:themeColor="text1"/>
              </w:rPr>
              <w:t xml:space="preserve"> at </w:t>
            </w:r>
            <w:r>
              <w:rPr>
                <w:rFonts w:eastAsia="Times New Roman"/>
                <w:color w:val="000000" w:themeColor="text1"/>
              </w:rPr>
              <w:t>the beginning of each season</w:t>
            </w:r>
          </w:p>
        </w:tc>
        <w:tc>
          <w:tcPr>
            <w:tcW w:w="2518" w:type="dxa"/>
            <w:vAlign w:val="center"/>
          </w:tcPr>
          <w:p w14:paraId="7EEC5F8C" w14:textId="6B2DA094" w:rsidR="007B5278" w:rsidRPr="00F4066E" w:rsidRDefault="00780ED8" w:rsidP="003415F7">
            <w:pPr>
              <w:spacing w:line="276" w:lineRule="auto"/>
              <w:jc w:val="center"/>
              <w:rPr>
                <w:rFonts w:eastAsia="Times New Roman"/>
                <w:color w:val="000000" w:themeColor="text1"/>
              </w:rPr>
            </w:pPr>
            <w:r>
              <w:rPr>
                <w:rFonts w:eastAsia="Times New Roman"/>
                <w:color w:val="000000" w:themeColor="text1"/>
              </w:rPr>
              <w:t>Definition of Diabetes Mellitus and p</w:t>
            </w:r>
            <w:r w:rsidR="00381CA8">
              <w:rPr>
                <w:rFonts w:eastAsia="Times New Roman"/>
                <w:color w:val="000000" w:themeColor="text1"/>
              </w:rPr>
              <w:t>atient m</w:t>
            </w:r>
            <w:r w:rsidR="00B152D8" w:rsidRPr="00F4066E">
              <w:rPr>
                <w:rFonts w:eastAsia="Times New Roman"/>
                <w:color w:val="000000" w:themeColor="text1"/>
              </w:rPr>
              <w:t>edication use</w:t>
            </w:r>
            <w:r w:rsidR="00F50F61" w:rsidRPr="00F4066E">
              <w:rPr>
                <w:rFonts w:eastAsia="Times New Roman"/>
                <w:color w:val="000000" w:themeColor="text1"/>
              </w:rPr>
              <w:t xml:space="preserve"> at </w:t>
            </w:r>
            <w:r w:rsidR="00381CA8">
              <w:rPr>
                <w:rFonts w:eastAsia="Times New Roman"/>
                <w:color w:val="000000" w:themeColor="text1"/>
              </w:rPr>
              <w:t>the beginning of each season</w:t>
            </w:r>
          </w:p>
        </w:tc>
        <w:tc>
          <w:tcPr>
            <w:tcW w:w="2585" w:type="dxa"/>
            <w:vAlign w:val="center"/>
          </w:tcPr>
          <w:p w14:paraId="6E646845" w14:textId="0392CB87" w:rsidR="007B5278" w:rsidRPr="00F4066E" w:rsidRDefault="00932765" w:rsidP="003415F7">
            <w:pPr>
              <w:spacing w:line="276" w:lineRule="auto"/>
              <w:jc w:val="center"/>
              <w:rPr>
                <w:rFonts w:eastAsia="Times New Roman"/>
                <w:color w:val="000000" w:themeColor="text1"/>
              </w:rPr>
            </w:pPr>
            <w:r>
              <w:rPr>
                <w:rFonts w:eastAsia="Times New Roman"/>
                <w:color w:val="000000" w:themeColor="text1"/>
              </w:rPr>
              <w:t>Age, sex</w:t>
            </w:r>
            <w:r w:rsidR="00B152D8" w:rsidRPr="00F4066E">
              <w:rPr>
                <w:rFonts w:eastAsia="Times New Roman"/>
                <w:color w:val="000000" w:themeColor="text1"/>
              </w:rPr>
              <w:t>, income and education level</w:t>
            </w:r>
            <w:r w:rsidR="00F50F61" w:rsidRPr="00F4066E">
              <w:rPr>
                <w:rFonts w:eastAsia="Times New Roman"/>
                <w:color w:val="000000" w:themeColor="text1"/>
              </w:rPr>
              <w:t xml:space="preserve"> </w:t>
            </w:r>
            <w:r w:rsidR="00787C98">
              <w:rPr>
                <w:rFonts w:eastAsia="Times New Roman"/>
                <w:color w:val="000000" w:themeColor="text1"/>
              </w:rPr>
              <w:t>at the beginning of each season</w:t>
            </w:r>
          </w:p>
        </w:tc>
        <w:tc>
          <w:tcPr>
            <w:tcW w:w="2410" w:type="dxa"/>
            <w:vAlign w:val="center"/>
          </w:tcPr>
          <w:p w14:paraId="1D012291" w14:textId="3C32310B" w:rsidR="007B5278" w:rsidRPr="00F4066E" w:rsidRDefault="00857CF4" w:rsidP="003415F7">
            <w:pPr>
              <w:spacing w:line="276" w:lineRule="auto"/>
              <w:jc w:val="center"/>
              <w:rPr>
                <w:rFonts w:eastAsia="Times New Roman"/>
                <w:color w:val="000000" w:themeColor="text1"/>
              </w:rPr>
            </w:pPr>
            <w:r w:rsidRPr="00F4066E">
              <w:rPr>
                <w:rFonts w:eastAsia="Times New Roman"/>
                <w:color w:val="000000" w:themeColor="text1"/>
              </w:rPr>
              <w:t>Outcome (all-cause death,</w:t>
            </w:r>
            <w:r w:rsidR="00B152D8" w:rsidRPr="00F4066E">
              <w:rPr>
                <w:rFonts w:eastAsia="Times New Roman"/>
                <w:color w:val="000000" w:themeColor="text1"/>
              </w:rPr>
              <w:t xml:space="preserve"> cardiovascular death</w:t>
            </w:r>
            <w:r w:rsidRPr="00F4066E">
              <w:rPr>
                <w:rFonts w:eastAsia="Times New Roman"/>
                <w:color w:val="000000" w:themeColor="text1"/>
              </w:rPr>
              <w:t>, AMI</w:t>
            </w:r>
            <w:r w:rsidR="006836E9">
              <w:rPr>
                <w:rFonts w:eastAsia="Times New Roman"/>
                <w:color w:val="000000" w:themeColor="text1"/>
              </w:rPr>
              <w:t xml:space="preserve"> and stroke</w:t>
            </w:r>
            <w:r w:rsidRPr="00F4066E">
              <w:rPr>
                <w:rFonts w:eastAsia="Times New Roman"/>
                <w:color w:val="000000" w:themeColor="text1"/>
              </w:rPr>
              <w:t xml:space="preserve"> death, </w:t>
            </w:r>
            <w:r w:rsidR="00336FB4" w:rsidRPr="00F4066E">
              <w:rPr>
                <w:rFonts w:eastAsia="Times New Roman"/>
                <w:color w:val="000000" w:themeColor="text1"/>
              </w:rPr>
              <w:t>incident cancer</w:t>
            </w:r>
            <w:r w:rsidR="00B152D8" w:rsidRPr="00F4066E">
              <w:rPr>
                <w:rFonts w:eastAsia="Times New Roman"/>
                <w:color w:val="000000" w:themeColor="text1"/>
              </w:rPr>
              <w:t>) and follow-up time</w:t>
            </w:r>
          </w:p>
        </w:tc>
        <w:tc>
          <w:tcPr>
            <w:tcW w:w="3118" w:type="dxa"/>
            <w:shd w:val="clear" w:color="auto" w:fill="auto"/>
            <w:noWrap/>
            <w:vAlign w:val="center"/>
          </w:tcPr>
          <w:p w14:paraId="5E43833F" w14:textId="6C90444A" w:rsidR="007B5278" w:rsidRPr="00F4066E" w:rsidRDefault="00F529C8" w:rsidP="003415F7">
            <w:pPr>
              <w:spacing w:line="276" w:lineRule="auto"/>
              <w:jc w:val="center"/>
              <w:rPr>
                <w:rFonts w:eastAsia="Times New Roman"/>
                <w:color w:val="000000" w:themeColor="text1"/>
              </w:rPr>
            </w:pPr>
            <w:r w:rsidRPr="00F4066E">
              <w:rPr>
                <w:rFonts w:eastAsia="Times New Roman"/>
                <w:color w:val="000000" w:themeColor="text1"/>
              </w:rPr>
              <w:t>Vaccination exposure</w:t>
            </w:r>
            <w:r w:rsidR="006836E9">
              <w:rPr>
                <w:rFonts w:eastAsia="Times New Roman"/>
                <w:color w:val="000000" w:themeColor="text1"/>
              </w:rPr>
              <w:t xml:space="preserve"> prior to each season</w:t>
            </w:r>
            <w:r w:rsidR="00B152D8" w:rsidRPr="00F4066E">
              <w:rPr>
                <w:rFonts w:eastAsia="Times New Roman"/>
                <w:color w:val="000000" w:themeColor="text1"/>
              </w:rPr>
              <w:t xml:space="preserve">  </w:t>
            </w:r>
          </w:p>
        </w:tc>
      </w:tr>
      <w:tr w:rsidR="00257119" w:rsidRPr="00F4066E" w14:paraId="1B15B0D3" w14:textId="0BC676F5" w:rsidTr="00811A1F">
        <w:trPr>
          <w:trHeight w:val="365"/>
        </w:trPr>
        <w:tc>
          <w:tcPr>
            <w:tcW w:w="1566" w:type="dxa"/>
            <w:vAlign w:val="center"/>
          </w:tcPr>
          <w:p w14:paraId="76F22D9B" w14:textId="41CBFCD6" w:rsidR="00F50F61" w:rsidRPr="00F4066E" w:rsidRDefault="00B1126D" w:rsidP="003415F7">
            <w:pPr>
              <w:spacing w:line="276" w:lineRule="auto"/>
              <w:jc w:val="center"/>
              <w:rPr>
                <w:rFonts w:eastAsia="Times New Roman"/>
                <w:b/>
                <w:color w:val="000000" w:themeColor="text1"/>
              </w:rPr>
            </w:pPr>
            <w:r w:rsidRPr="00F4066E">
              <w:rPr>
                <w:rFonts w:eastAsia="Times New Roman"/>
                <w:b/>
                <w:color w:val="000000" w:themeColor="text1"/>
              </w:rPr>
              <w:t>Data-linkage</w:t>
            </w:r>
          </w:p>
        </w:tc>
        <w:tc>
          <w:tcPr>
            <w:tcW w:w="2577" w:type="dxa"/>
            <w:vAlign w:val="center"/>
          </w:tcPr>
          <w:p w14:paraId="38E90025" w14:textId="40121DB4" w:rsidR="00F50F61" w:rsidRPr="00F4066E" w:rsidRDefault="00257119" w:rsidP="003415F7">
            <w:pPr>
              <w:spacing w:line="276" w:lineRule="auto"/>
              <w:jc w:val="center"/>
              <w:rPr>
                <w:rFonts w:eastAsia="Times New Roman"/>
                <w:color w:val="000000" w:themeColor="text1"/>
              </w:rPr>
            </w:pPr>
            <w:r w:rsidRPr="00F4066E">
              <w:rPr>
                <w:rFonts w:eastAsia="Times New Roman"/>
                <w:color w:val="000000" w:themeColor="text1"/>
              </w:rPr>
              <w:t xml:space="preserve">Personal </w:t>
            </w:r>
            <w:r w:rsidR="00F50F61" w:rsidRPr="00F4066E">
              <w:rPr>
                <w:rFonts w:eastAsia="Times New Roman"/>
                <w:color w:val="000000" w:themeColor="text1"/>
              </w:rPr>
              <w:t>identification number</w:t>
            </w:r>
          </w:p>
        </w:tc>
        <w:tc>
          <w:tcPr>
            <w:tcW w:w="2518" w:type="dxa"/>
            <w:vAlign w:val="center"/>
          </w:tcPr>
          <w:p w14:paraId="5DB74A9B" w14:textId="2D839FF6" w:rsidR="00F50F61" w:rsidRPr="00F4066E" w:rsidRDefault="00F50F61" w:rsidP="003415F7">
            <w:pPr>
              <w:spacing w:line="276" w:lineRule="auto"/>
              <w:jc w:val="center"/>
              <w:rPr>
                <w:rFonts w:eastAsia="Times New Roman"/>
                <w:color w:val="000000" w:themeColor="text1"/>
              </w:rPr>
            </w:pPr>
            <w:r w:rsidRPr="00F4066E">
              <w:rPr>
                <w:rFonts w:eastAsia="Times New Roman"/>
                <w:color w:val="000000" w:themeColor="text1"/>
              </w:rPr>
              <w:t>Personal identification number</w:t>
            </w:r>
          </w:p>
        </w:tc>
        <w:tc>
          <w:tcPr>
            <w:tcW w:w="2585" w:type="dxa"/>
            <w:vAlign w:val="center"/>
          </w:tcPr>
          <w:p w14:paraId="4876EB23" w14:textId="6628DF03" w:rsidR="00F50F61" w:rsidRPr="00F4066E" w:rsidRDefault="00F50F61" w:rsidP="003415F7">
            <w:pPr>
              <w:spacing w:line="276" w:lineRule="auto"/>
              <w:jc w:val="center"/>
              <w:rPr>
                <w:rFonts w:eastAsia="Times New Roman"/>
                <w:color w:val="000000" w:themeColor="text1"/>
              </w:rPr>
            </w:pPr>
            <w:r w:rsidRPr="00F4066E">
              <w:rPr>
                <w:rFonts w:eastAsia="Times New Roman"/>
                <w:color w:val="000000" w:themeColor="text1"/>
              </w:rPr>
              <w:t>Personal identification number</w:t>
            </w:r>
          </w:p>
        </w:tc>
        <w:tc>
          <w:tcPr>
            <w:tcW w:w="2410" w:type="dxa"/>
            <w:vAlign w:val="center"/>
          </w:tcPr>
          <w:p w14:paraId="15276FC4" w14:textId="2E2396D2" w:rsidR="00F50F61" w:rsidRPr="00F4066E" w:rsidRDefault="00F50F61" w:rsidP="003415F7">
            <w:pPr>
              <w:spacing w:line="276" w:lineRule="auto"/>
              <w:jc w:val="center"/>
              <w:rPr>
                <w:rFonts w:eastAsia="Times New Roman"/>
                <w:color w:val="000000" w:themeColor="text1"/>
              </w:rPr>
            </w:pPr>
            <w:r w:rsidRPr="00F4066E">
              <w:rPr>
                <w:rFonts w:eastAsia="Times New Roman"/>
                <w:color w:val="000000" w:themeColor="text1"/>
              </w:rPr>
              <w:t>Personal identification number</w:t>
            </w:r>
          </w:p>
        </w:tc>
        <w:tc>
          <w:tcPr>
            <w:tcW w:w="3118" w:type="dxa"/>
            <w:shd w:val="clear" w:color="auto" w:fill="auto"/>
            <w:noWrap/>
            <w:vAlign w:val="center"/>
          </w:tcPr>
          <w:p w14:paraId="43CC98FB" w14:textId="76D5A15E" w:rsidR="00F50F61" w:rsidRPr="00F4066E" w:rsidRDefault="00F50F61" w:rsidP="003415F7">
            <w:pPr>
              <w:spacing w:line="276" w:lineRule="auto"/>
              <w:jc w:val="center"/>
              <w:rPr>
                <w:rFonts w:eastAsia="Times New Roman"/>
                <w:color w:val="000000" w:themeColor="text1"/>
              </w:rPr>
            </w:pPr>
            <w:r w:rsidRPr="00F4066E">
              <w:rPr>
                <w:rFonts w:eastAsia="Times New Roman"/>
                <w:color w:val="000000" w:themeColor="text1"/>
              </w:rPr>
              <w:t>Personal identification number</w:t>
            </w:r>
          </w:p>
        </w:tc>
      </w:tr>
    </w:tbl>
    <w:p w14:paraId="0A5DA98F" w14:textId="77777777" w:rsidR="00CB3E3F" w:rsidRPr="00F4066E" w:rsidRDefault="00CB3E3F" w:rsidP="003415F7">
      <w:pPr>
        <w:spacing w:line="276" w:lineRule="auto"/>
      </w:pPr>
    </w:p>
    <w:p w14:paraId="08E0F246" w14:textId="3A90F2DA" w:rsidR="007B5278" w:rsidRPr="00F4066E" w:rsidRDefault="006A0D58" w:rsidP="003415F7">
      <w:pPr>
        <w:spacing w:line="276" w:lineRule="auto"/>
      </w:pPr>
      <w:r w:rsidRPr="00F4066E">
        <w:t>ATC; anatomical therapeutic chemical classification system. ICD-10; International Classification of Diseases 10</w:t>
      </w:r>
      <w:r w:rsidRPr="00F4066E">
        <w:rPr>
          <w:vertAlign w:val="superscript"/>
        </w:rPr>
        <w:t>th</w:t>
      </w:r>
      <w:r w:rsidRPr="00F4066E">
        <w:t xml:space="preserve"> revision. </w:t>
      </w:r>
      <w:r w:rsidR="00857CF4" w:rsidRPr="00F4066E">
        <w:t>AMI, acute myocardial infarction.</w:t>
      </w:r>
    </w:p>
    <w:p w14:paraId="1C55F4A3" w14:textId="77777777" w:rsidR="00117ECF" w:rsidRPr="00F4066E" w:rsidRDefault="00117ECF" w:rsidP="003415F7">
      <w:pPr>
        <w:spacing w:line="276" w:lineRule="auto"/>
      </w:pPr>
    </w:p>
    <w:p w14:paraId="10F3F549" w14:textId="77777777" w:rsidR="00F31D6E" w:rsidRPr="00F4066E" w:rsidRDefault="00F31D6E" w:rsidP="003415F7">
      <w:pPr>
        <w:spacing w:line="276" w:lineRule="auto"/>
        <w:sectPr w:rsidR="00F31D6E" w:rsidRPr="00F4066E" w:rsidSect="00257119">
          <w:pgSz w:w="20160" w:h="12240" w:orient="landscape" w:code="5"/>
          <w:pgMar w:top="1134" w:right="1701" w:bottom="1134" w:left="1701" w:header="708" w:footer="708" w:gutter="0"/>
          <w:cols w:space="708"/>
          <w:docGrid w:linePitch="360"/>
        </w:sectPr>
      </w:pPr>
    </w:p>
    <w:p w14:paraId="2896CF08" w14:textId="72BB6F78" w:rsidR="00117ECF" w:rsidRPr="00F4066E" w:rsidRDefault="00F31D6E" w:rsidP="003415F7">
      <w:pPr>
        <w:spacing w:line="276" w:lineRule="auto"/>
      </w:pPr>
      <w:r w:rsidRPr="00F4066E">
        <w:rPr>
          <w:b/>
        </w:rPr>
        <w:lastRenderedPageBreak/>
        <w:t xml:space="preserve">Table S2. </w:t>
      </w:r>
      <w:r w:rsidRPr="00F4066E">
        <w:t xml:space="preserve">Anatomical Therapeutic Chemical (ATC) Classification codes used for the definition of medication use. </w:t>
      </w:r>
    </w:p>
    <w:p w14:paraId="1BB04249" w14:textId="77777777" w:rsidR="00F31D6E" w:rsidRPr="00F4066E" w:rsidRDefault="00F31D6E" w:rsidP="003415F7">
      <w:pPr>
        <w:spacing w:line="276" w:lineRule="auto"/>
      </w:pPr>
    </w:p>
    <w:tbl>
      <w:tblPr>
        <w:tblStyle w:val="TableGrid"/>
        <w:tblW w:w="0" w:type="auto"/>
        <w:tblLook w:val="04A0" w:firstRow="1" w:lastRow="0" w:firstColumn="1" w:lastColumn="0" w:noHBand="0" w:noVBand="1"/>
      </w:tblPr>
      <w:tblGrid>
        <w:gridCol w:w="4981"/>
        <w:gridCol w:w="4981"/>
      </w:tblGrid>
      <w:tr w:rsidR="00F31D6E" w:rsidRPr="00F4066E" w14:paraId="5583205F" w14:textId="77777777" w:rsidTr="00F31D6E">
        <w:tc>
          <w:tcPr>
            <w:tcW w:w="4981" w:type="dxa"/>
          </w:tcPr>
          <w:p w14:paraId="378C38A0" w14:textId="41BEB428" w:rsidR="00F31D6E" w:rsidRPr="00F4066E" w:rsidRDefault="00F31D6E" w:rsidP="003415F7">
            <w:pPr>
              <w:spacing w:line="276" w:lineRule="auto"/>
              <w:rPr>
                <w:b/>
              </w:rPr>
            </w:pPr>
            <w:r w:rsidRPr="00F4066E">
              <w:rPr>
                <w:b/>
              </w:rPr>
              <w:t>Medication</w:t>
            </w:r>
          </w:p>
        </w:tc>
        <w:tc>
          <w:tcPr>
            <w:tcW w:w="4981" w:type="dxa"/>
          </w:tcPr>
          <w:p w14:paraId="1965127E" w14:textId="4C1242AA" w:rsidR="00F31D6E" w:rsidRPr="00F4066E" w:rsidRDefault="00F31D6E" w:rsidP="003415F7">
            <w:pPr>
              <w:spacing w:line="276" w:lineRule="auto"/>
              <w:rPr>
                <w:b/>
              </w:rPr>
            </w:pPr>
            <w:r w:rsidRPr="00F4066E">
              <w:rPr>
                <w:b/>
              </w:rPr>
              <w:t>ATC-code</w:t>
            </w:r>
          </w:p>
        </w:tc>
      </w:tr>
      <w:tr w:rsidR="00F31D6E" w:rsidRPr="00F4066E" w14:paraId="655F8AE4" w14:textId="77777777" w:rsidTr="00F31D6E">
        <w:tc>
          <w:tcPr>
            <w:tcW w:w="4981" w:type="dxa"/>
          </w:tcPr>
          <w:p w14:paraId="227DC9FC" w14:textId="73944F51" w:rsidR="00F31D6E" w:rsidRPr="00F4066E" w:rsidRDefault="00F31D6E" w:rsidP="003415F7">
            <w:pPr>
              <w:spacing w:line="276" w:lineRule="auto"/>
            </w:pPr>
            <w:r w:rsidRPr="00F4066E">
              <w:t>Statin</w:t>
            </w:r>
          </w:p>
        </w:tc>
        <w:tc>
          <w:tcPr>
            <w:tcW w:w="4981" w:type="dxa"/>
          </w:tcPr>
          <w:p w14:paraId="4EBA8A7C" w14:textId="1BB3D548" w:rsidR="00F31D6E" w:rsidRPr="00F4066E" w:rsidRDefault="00F31D6E" w:rsidP="003415F7">
            <w:pPr>
              <w:spacing w:line="276" w:lineRule="auto"/>
            </w:pPr>
            <w:r w:rsidRPr="00F4066E">
              <w:t>C10AA</w:t>
            </w:r>
          </w:p>
        </w:tc>
      </w:tr>
      <w:tr w:rsidR="00F31D6E" w:rsidRPr="00F4066E" w14:paraId="017C57D1" w14:textId="77777777" w:rsidTr="00F31D6E">
        <w:tc>
          <w:tcPr>
            <w:tcW w:w="4981" w:type="dxa"/>
          </w:tcPr>
          <w:p w14:paraId="1D60307C" w14:textId="704E0CBA" w:rsidR="00F31D6E" w:rsidRPr="00F4066E" w:rsidRDefault="00556D5A" w:rsidP="003415F7">
            <w:pPr>
              <w:spacing w:line="276" w:lineRule="auto"/>
            </w:pPr>
            <w:r w:rsidRPr="00F4066E">
              <w:t>Renin-angiotensin system inhibitor</w:t>
            </w:r>
          </w:p>
        </w:tc>
        <w:tc>
          <w:tcPr>
            <w:tcW w:w="4981" w:type="dxa"/>
          </w:tcPr>
          <w:p w14:paraId="0E30CEDB" w14:textId="7D4B3613" w:rsidR="00F31D6E" w:rsidRPr="00F4066E" w:rsidRDefault="00556D5A" w:rsidP="003415F7">
            <w:pPr>
              <w:spacing w:line="276" w:lineRule="auto"/>
            </w:pPr>
            <w:r w:rsidRPr="00F4066E">
              <w:t>C09</w:t>
            </w:r>
          </w:p>
        </w:tc>
      </w:tr>
      <w:tr w:rsidR="00F31D6E" w:rsidRPr="00F4066E" w14:paraId="6B539D8E" w14:textId="77777777" w:rsidTr="00F31D6E">
        <w:tc>
          <w:tcPr>
            <w:tcW w:w="4981" w:type="dxa"/>
          </w:tcPr>
          <w:p w14:paraId="1A419F81" w14:textId="49667681" w:rsidR="00F31D6E" w:rsidRPr="00F4066E" w:rsidRDefault="00556D5A" w:rsidP="003415F7">
            <w:pPr>
              <w:spacing w:line="276" w:lineRule="auto"/>
            </w:pPr>
            <w:r w:rsidRPr="00F4066E">
              <w:t>Anti-thrombotic</w:t>
            </w:r>
          </w:p>
        </w:tc>
        <w:tc>
          <w:tcPr>
            <w:tcW w:w="4981" w:type="dxa"/>
          </w:tcPr>
          <w:p w14:paraId="6290E2A4" w14:textId="7ADD1996" w:rsidR="00F31D6E" w:rsidRPr="00F4066E" w:rsidRDefault="00556D5A" w:rsidP="003415F7">
            <w:pPr>
              <w:spacing w:line="276" w:lineRule="auto"/>
            </w:pPr>
            <w:r w:rsidRPr="00F4066E">
              <w:t>B01</w:t>
            </w:r>
          </w:p>
        </w:tc>
      </w:tr>
      <w:tr w:rsidR="00F31D6E" w:rsidRPr="00F4066E" w14:paraId="1785418F" w14:textId="77777777" w:rsidTr="00F31D6E">
        <w:tc>
          <w:tcPr>
            <w:tcW w:w="4981" w:type="dxa"/>
          </w:tcPr>
          <w:p w14:paraId="01D04F5E" w14:textId="0F2B90D2" w:rsidR="00F31D6E" w:rsidRPr="00F4066E" w:rsidRDefault="00556D5A" w:rsidP="003415F7">
            <w:pPr>
              <w:spacing w:line="276" w:lineRule="auto"/>
            </w:pPr>
            <w:r w:rsidRPr="00F4066E">
              <w:t>Beta blocker</w:t>
            </w:r>
          </w:p>
        </w:tc>
        <w:tc>
          <w:tcPr>
            <w:tcW w:w="4981" w:type="dxa"/>
          </w:tcPr>
          <w:p w14:paraId="2F818983" w14:textId="155F8F8C" w:rsidR="00F31D6E" w:rsidRPr="00F4066E" w:rsidRDefault="00556D5A" w:rsidP="003415F7">
            <w:pPr>
              <w:spacing w:line="276" w:lineRule="auto"/>
            </w:pPr>
            <w:r w:rsidRPr="00F4066E">
              <w:t>C07</w:t>
            </w:r>
          </w:p>
        </w:tc>
      </w:tr>
      <w:tr w:rsidR="00F31D6E" w:rsidRPr="00F4066E" w14:paraId="18B11D4D" w14:textId="77777777" w:rsidTr="00F31D6E">
        <w:tc>
          <w:tcPr>
            <w:tcW w:w="4981" w:type="dxa"/>
          </w:tcPr>
          <w:p w14:paraId="6E30C2B2" w14:textId="0E12BDBC" w:rsidR="00F31D6E" w:rsidRPr="00F4066E" w:rsidRDefault="00556D5A" w:rsidP="003415F7">
            <w:pPr>
              <w:spacing w:line="276" w:lineRule="auto"/>
            </w:pPr>
            <w:r w:rsidRPr="00F4066E">
              <w:t>Diuretic</w:t>
            </w:r>
          </w:p>
        </w:tc>
        <w:tc>
          <w:tcPr>
            <w:tcW w:w="4981" w:type="dxa"/>
          </w:tcPr>
          <w:p w14:paraId="5FAA05E5" w14:textId="0005A0E7" w:rsidR="00F31D6E" w:rsidRPr="00F4066E" w:rsidRDefault="00556D5A" w:rsidP="003415F7">
            <w:pPr>
              <w:spacing w:line="276" w:lineRule="auto"/>
            </w:pPr>
            <w:r w:rsidRPr="00F4066E">
              <w:t>C03</w:t>
            </w:r>
          </w:p>
        </w:tc>
      </w:tr>
      <w:tr w:rsidR="00F31D6E" w:rsidRPr="00F4066E" w14:paraId="697B81C8" w14:textId="77777777" w:rsidTr="00556D5A">
        <w:trPr>
          <w:trHeight w:val="301"/>
        </w:trPr>
        <w:tc>
          <w:tcPr>
            <w:tcW w:w="4981" w:type="dxa"/>
          </w:tcPr>
          <w:p w14:paraId="5DBDD728" w14:textId="72FA7BF5" w:rsidR="00F31D6E" w:rsidRPr="00F4066E" w:rsidRDefault="00556D5A" w:rsidP="003415F7">
            <w:pPr>
              <w:spacing w:line="276" w:lineRule="auto"/>
            </w:pPr>
            <w:r w:rsidRPr="00F4066E">
              <w:t>Spironolactone</w:t>
            </w:r>
          </w:p>
        </w:tc>
        <w:tc>
          <w:tcPr>
            <w:tcW w:w="4981" w:type="dxa"/>
          </w:tcPr>
          <w:p w14:paraId="56F3FE9C" w14:textId="0E724F22" w:rsidR="00F31D6E" w:rsidRPr="00F4066E" w:rsidRDefault="00556D5A" w:rsidP="003415F7">
            <w:pPr>
              <w:spacing w:line="276" w:lineRule="auto"/>
            </w:pPr>
            <w:r w:rsidRPr="00F4066E">
              <w:t>C03D</w:t>
            </w:r>
          </w:p>
        </w:tc>
      </w:tr>
      <w:tr w:rsidR="00F31D6E" w:rsidRPr="00F4066E" w14:paraId="2A07699C" w14:textId="77777777" w:rsidTr="00F31D6E">
        <w:tc>
          <w:tcPr>
            <w:tcW w:w="4981" w:type="dxa"/>
          </w:tcPr>
          <w:p w14:paraId="422ED110" w14:textId="5252869E" w:rsidR="00F31D6E" w:rsidRPr="00F4066E" w:rsidRDefault="00556D5A" w:rsidP="003415F7">
            <w:pPr>
              <w:spacing w:line="276" w:lineRule="auto"/>
            </w:pPr>
            <w:r w:rsidRPr="00F4066E">
              <w:t>Digoxin</w:t>
            </w:r>
          </w:p>
        </w:tc>
        <w:tc>
          <w:tcPr>
            <w:tcW w:w="4981" w:type="dxa"/>
          </w:tcPr>
          <w:p w14:paraId="191732E0" w14:textId="43034F3D" w:rsidR="00F31D6E" w:rsidRPr="00F4066E" w:rsidRDefault="00556D5A" w:rsidP="003415F7">
            <w:pPr>
              <w:spacing w:line="276" w:lineRule="auto"/>
            </w:pPr>
            <w:r w:rsidRPr="00F4066E">
              <w:t>C01AA05</w:t>
            </w:r>
          </w:p>
        </w:tc>
      </w:tr>
      <w:tr w:rsidR="00F31D6E" w:rsidRPr="00F4066E" w14:paraId="1021CB45" w14:textId="77777777" w:rsidTr="00F31D6E">
        <w:tc>
          <w:tcPr>
            <w:tcW w:w="4981" w:type="dxa"/>
          </w:tcPr>
          <w:p w14:paraId="25BCC7BE" w14:textId="7103A9F4" w:rsidR="00F31D6E" w:rsidRPr="00F4066E" w:rsidRDefault="00556D5A" w:rsidP="003415F7">
            <w:pPr>
              <w:spacing w:line="276" w:lineRule="auto"/>
            </w:pPr>
            <w:r w:rsidRPr="00F4066E">
              <w:t>Calcium Antagonist</w:t>
            </w:r>
          </w:p>
        </w:tc>
        <w:tc>
          <w:tcPr>
            <w:tcW w:w="4981" w:type="dxa"/>
          </w:tcPr>
          <w:p w14:paraId="564780B7" w14:textId="349BEAD4" w:rsidR="00F31D6E" w:rsidRPr="00F4066E" w:rsidRDefault="00556D5A" w:rsidP="003415F7">
            <w:pPr>
              <w:spacing w:line="276" w:lineRule="auto"/>
            </w:pPr>
            <w:r w:rsidRPr="00F4066E">
              <w:t>C08</w:t>
            </w:r>
          </w:p>
        </w:tc>
      </w:tr>
      <w:tr w:rsidR="00F31D6E" w:rsidRPr="00F4066E" w14:paraId="3108D8A9" w14:textId="77777777" w:rsidTr="00F31D6E">
        <w:tc>
          <w:tcPr>
            <w:tcW w:w="4981" w:type="dxa"/>
          </w:tcPr>
          <w:p w14:paraId="7B7FC0EC" w14:textId="5C8CA426" w:rsidR="00F31D6E" w:rsidRPr="00F4066E" w:rsidRDefault="00556D5A" w:rsidP="003415F7">
            <w:pPr>
              <w:spacing w:line="276" w:lineRule="auto"/>
            </w:pPr>
            <w:r w:rsidRPr="00F4066E">
              <w:t>Aspirin</w:t>
            </w:r>
          </w:p>
        </w:tc>
        <w:tc>
          <w:tcPr>
            <w:tcW w:w="4981" w:type="dxa"/>
          </w:tcPr>
          <w:p w14:paraId="6F191A0A" w14:textId="1A823D8B" w:rsidR="00F31D6E" w:rsidRPr="00F4066E" w:rsidRDefault="00556D5A" w:rsidP="003415F7">
            <w:pPr>
              <w:spacing w:line="276" w:lineRule="auto"/>
            </w:pPr>
            <w:r w:rsidRPr="00F4066E">
              <w:t>B01AC06</w:t>
            </w:r>
          </w:p>
        </w:tc>
      </w:tr>
      <w:tr w:rsidR="00F31D6E" w:rsidRPr="00F4066E" w14:paraId="23889528" w14:textId="77777777" w:rsidTr="00F31D6E">
        <w:tc>
          <w:tcPr>
            <w:tcW w:w="4981" w:type="dxa"/>
          </w:tcPr>
          <w:p w14:paraId="47E07CA1" w14:textId="49C38109" w:rsidR="00F31D6E" w:rsidRPr="00F4066E" w:rsidRDefault="00961657" w:rsidP="003415F7">
            <w:pPr>
              <w:spacing w:line="276" w:lineRule="auto"/>
            </w:pPr>
            <w:r w:rsidRPr="00F4066E">
              <w:t>Opioid</w:t>
            </w:r>
          </w:p>
        </w:tc>
        <w:tc>
          <w:tcPr>
            <w:tcW w:w="4981" w:type="dxa"/>
          </w:tcPr>
          <w:p w14:paraId="0A1A06EE" w14:textId="331B33B6" w:rsidR="00F31D6E" w:rsidRPr="00F4066E" w:rsidRDefault="00556D5A" w:rsidP="003415F7">
            <w:pPr>
              <w:spacing w:line="276" w:lineRule="auto"/>
            </w:pPr>
            <w:r w:rsidRPr="00F4066E">
              <w:t>N02A</w:t>
            </w:r>
          </w:p>
        </w:tc>
      </w:tr>
      <w:tr w:rsidR="00F31D6E" w:rsidRPr="00F4066E" w14:paraId="61A6003A" w14:textId="77777777" w:rsidTr="00F31D6E">
        <w:tc>
          <w:tcPr>
            <w:tcW w:w="4981" w:type="dxa"/>
          </w:tcPr>
          <w:p w14:paraId="49CED7F4" w14:textId="4279B16E" w:rsidR="00F31D6E" w:rsidRPr="00F4066E" w:rsidRDefault="007810F2" w:rsidP="003415F7">
            <w:pPr>
              <w:spacing w:line="276" w:lineRule="auto"/>
            </w:pPr>
            <w:r w:rsidRPr="00F4066E">
              <w:t>Antipsychotic</w:t>
            </w:r>
          </w:p>
        </w:tc>
        <w:tc>
          <w:tcPr>
            <w:tcW w:w="4981" w:type="dxa"/>
          </w:tcPr>
          <w:p w14:paraId="1F3F7CDD" w14:textId="359B9460" w:rsidR="00F31D6E" w:rsidRPr="00F4066E" w:rsidRDefault="00556D5A" w:rsidP="003415F7">
            <w:pPr>
              <w:spacing w:line="276" w:lineRule="auto"/>
            </w:pPr>
            <w:r w:rsidRPr="00F4066E">
              <w:t>N05A</w:t>
            </w:r>
          </w:p>
        </w:tc>
      </w:tr>
      <w:tr w:rsidR="00F31D6E" w:rsidRPr="00F4066E" w14:paraId="2C8405AF" w14:textId="77777777" w:rsidTr="00F31D6E">
        <w:tc>
          <w:tcPr>
            <w:tcW w:w="4981" w:type="dxa"/>
          </w:tcPr>
          <w:p w14:paraId="38639806" w14:textId="5198B18F" w:rsidR="00F31D6E" w:rsidRPr="00F4066E" w:rsidRDefault="0063390F" w:rsidP="003415F7">
            <w:pPr>
              <w:spacing w:line="276" w:lineRule="auto"/>
            </w:pPr>
            <w:r w:rsidRPr="00F4066E">
              <w:t>Antidepressant</w:t>
            </w:r>
          </w:p>
        </w:tc>
        <w:tc>
          <w:tcPr>
            <w:tcW w:w="4981" w:type="dxa"/>
          </w:tcPr>
          <w:p w14:paraId="5FCBE7AF" w14:textId="69E0AAAA" w:rsidR="00F31D6E" w:rsidRPr="00F4066E" w:rsidRDefault="0063390F" w:rsidP="003415F7">
            <w:pPr>
              <w:spacing w:line="276" w:lineRule="auto"/>
            </w:pPr>
            <w:r w:rsidRPr="00F4066E">
              <w:t>N06A</w:t>
            </w:r>
          </w:p>
        </w:tc>
      </w:tr>
      <w:tr w:rsidR="00F31D6E" w:rsidRPr="00F4066E" w14:paraId="472FAF10" w14:textId="77777777" w:rsidTr="00F31D6E">
        <w:tc>
          <w:tcPr>
            <w:tcW w:w="4981" w:type="dxa"/>
          </w:tcPr>
          <w:p w14:paraId="3CCC6757" w14:textId="6B00354A" w:rsidR="00F31D6E" w:rsidRPr="00F4066E" w:rsidRDefault="0063390F" w:rsidP="003415F7">
            <w:pPr>
              <w:spacing w:line="276" w:lineRule="auto"/>
            </w:pPr>
            <w:r w:rsidRPr="00F4066E">
              <w:t>Antiepileptic</w:t>
            </w:r>
          </w:p>
        </w:tc>
        <w:tc>
          <w:tcPr>
            <w:tcW w:w="4981" w:type="dxa"/>
          </w:tcPr>
          <w:p w14:paraId="08A54408" w14:textId="0209498E" w:rsidR="00F31D6E" w:rsidRPr="00F4066E" w:rsidRDefault="0063390F" w:rsidP="003415F7">
            <w:pPr>
              <w:spacing w:line="276" w:lineRule="auto"/>
            </w:pPr>
            <w:r w:rsidRPr="00F4066E">
              <w:t>N03A</w:t>
            </w:r>
          </w:p>
        </w:tc>
      </w:tr>
      <w:tr w:rsidR="00F31D6E" w:rsidRPr="00F4066E" w14:paraId="4FC4477A" w14:textId="77777777" w:rsidTr="00F31D6E">
        <w:tc>
          <w:tcPr>
            <w:tcW w:w="4981" w:type="dxa"/>
          </w:tcPr>
          <w:p w14:paraId="0B5BCF95" w14:textId="39576ED4" w:rsidR="00F31D6E" w:rsidRPr="00F4066E" w:rsidRDefault="0063390F" w:rsidP="003415F7">
            <w:pPr>
              <w:spacing w:line="276" w:lineRule="auto"/>
            </w:pPr>
            <w:r w:rsidRPr="00F4066E">
              <w:t>Systemic glucocorticoid</w:t>
            </w:r>
          </w:p>
        </w:tc>
        <w:tc>
          <w:tcPr>
            <w:tcW w:w="4981" w:type="dxa"/>
          </w:tcPr>
          <w:p w14:paraId="5C3747A4" w14:textId="6A43953B" w:rsidR="00F31D6E" w:rsidRPr="00F4066E" w:rsidRDefault="0063390F" w:rsidP="003415F7">
            <w:pPr>
              <w:spacing w:line="276" w:lineRule="auto"/>
            </w:pPr>
            <w:r w:rsidRPr="00F4066E">
              <w:t>H02AB</w:t>
            </w:r>
          </w:p>
        </w:tc>
      </w:tr>
      <w:tr w:rsidR="00F31D6E" w:rsidRPr="00F4066E" w14:paraId="4C31E672" w14:textId="77777777" w:rsidTr="00F31D6E">
        <w:tc>
          <w:tcPr>
            <w:tcW w:w="4981" w:type="dxa"/>
          </w:tcPr>
          <w:p w14:paraId="37F6F88D" w14:textId="3DC0DD96" w:rsidR="00F31D6E" w:rsidRPr="00F4066E" w:rsidRDefault="0063390F" w:rsidP="003415F7">
            <w:pPr>
              <w:spacing w:line="276" w:lineRule="auto"/>
            </w:pPr>
            <w:r w:rsidRPr="00F4066E">
              <w:t>Proton-pump inhibitor</w:t>
            </w:r>
          </w:p>
        </w:tc>
        <w:tc>
          <w:tcPr>
            <w:tcW w:w="4981" w:type="dxa"/>
          </w:tcPr>
          <w:p w14:paraId="18A9FBE9" w14:textId="2B01A593" w:rsidR="00F31D6E" w:rsidRPr="00F4066E" w:rsidRDefault="0063390F" w:rsidP="003415F7">
            <w:pPr>
              <w:spacing w:line="276" w:lineRule="auto"/>
            </w:pPr>
            <w:r w:rsidRPr="00F4066E">
              <w:t>A02BC</w:t>
            </w:r>
          </w:p>
        </w:tc>
      </w:tr>
      <w:tr w:rsidR="0016055C" w:rsidRPr="00F4066E" w14:paraId="528E2BC2" w14:textId="77777777" w:rsidTr="00F31D6E">
        <w:tc>
          <w:tcPr>
            <w:tcW w:w="4981" w:type="dxa"/>
          </w:tcPr>
          <w:p w14:paraId="15446157" w14:textId="33318C84" w:rsidR="0016055C" w:rsidRPr="00F4066E" w:rsidRDefault="0016055C" w:rsidP="003415F7">
            <w:pPr>
              <w:spacing w:line="276" w:lineRule="auto"/>
            </w:pPr>
            <w:r>
              <w:t xml:space="preserve">Insulin </w:t>
            </w:r>
          </w:p>
        </w:tc>
        <w:tc>
          <w:tcPr>
            <w:tcW w:w="4981" w:type="dxa"/>
          </w:tcPr>
          <w:p w14:paraId="7B56F8A7" w14:textId="154BEDF1" w:rsidR="0016055C" w:rsidRPr="00F4066E" w:rsidRDefault="00314294" w:rsidP="003415F7">
            <w:pPr>
              <w:spacing w:line="276" w:lineRule="auto"/>
            </w:pPr>
            <w:r>
              <w:t>A10A</w:t>
            </w:r>
          </w:p>
        </w:tc>
      </w:tr>
      <w:tr w:rsidR="00C16296" w:rsidRPr="00F4066E" w14:paraId="46063809" w14:textId="77777777" w:rsidTr="00F31D6E">
        <w:tc>
          <w:tcPr>
            <w:tcW w:w="4981" w:type="dxa"/>
          </w:tcPr>
          <w:p w14:paraId="4F7BE162" w14:textId="636D5535" w:rsidR="00C16296" w:rsidRDefault="00C16296" w:rsidP="003415F7">
            <w:pPr>
              <w:spacing w:line="276" w:lineRule="auto"/>
            </w:pPr>
            <w:r>
              <w:t>Aspirin</w:t>
            </w:r>
          </w:p>
        </w:tc>
        <w:tc>
          <w:tcPr>
            <w:tcW w:w="4981" w:type="dxa"/>
          </w:tcPr>
          <w:p w14:paraId="5E82410B" w14:textId="746AB562" w:rsidR="00C16296" w:rsidRPr="00F4066E" w:rsidRDefault="00C16296" w:rsidP="003415F7">
            <w:pPr>
              <w:spacing w:line="276" w:lineRule="auto"/>
            </w:pPr>
            <w:r>
              <w:t>B01AC06</w:t>
            </w:r>
          </w:p>
        </w:tc>
      </w:tr>
      <w:tr w:rsidR="00C16296" w:rsidRPr="00F4066E" w14:paraId="22EFF008" w14:textId="77777777" w:rsidTr="00F31D6E">
        <w:tc>
          <w:tcPr>
            <w:tcW w:w="4981" w:type="dxa"/>
          </w:tcPr>
          <w:p w14:paraId="0379F0F5" w14:textId="3BDE54A3" w:rsidR="00C16296" w:rsidRDefault="00314294" w:rsidP="003415F7">
            <w:pPr>
              <w:spacing w:line="276" w:lineRule="auto"/>
            </w:pPr>
            <w:r>
              <w:t>Anti-thrombotic</w:t>
            </w:r>
          </w:p>
        </w:tc>
        <w:tc>
          <w:tcPr>
            <w:tcW w:w="4981" w:type="dxa"/>
          </w:tcPr>
          <w:p w14:paraId="781D9BD3" w14:textId="5B61C37C" w:rsidR="00C16296" w:rsidRDefault="00314294" w:rsidP="003415F7">
            <w:pPr>
              <w:spacing w:line="276" w:lineRule="auto"/>
            </w:pPr>
            <w:r>
              <w:t>B01</w:t>
            </w:r>
          </w:p>
        </w:tc>
      </w:tr>
      <w:tr w:rsidR="00314294" w:rsidRPr="00F4066E" w14:paraId="492ED36A" w14:textId="77777777" w:rsidTr="00F31D6E">
        <w:tc>
          <w:tcPr>
            <w:tcW w:w="4981" w:type="dxa"/>
          </w:tcPr>
          <w:p w14:paraId="3D277E65" w14:textId="24716D04" w:rsidR="00314294" w:rsidRDefault="00314294" w:rsidP="003415F7">
            <w:pPr>
              <w:spacing w:line="276" w:lineRule="auto"/>
            </w:pPr>
            <w:r>
              <w:t xml:space="preserve">Loop diuretic </w:t>
            </w:r>
          </w:p>
        </w:tc>
        <w:tc>
          <w:tcPr>
            <w:tcW w:w="4981" w:type="dxa"/>
          </w:tcPr>
          <w:p w14:paraId="2F28BEDC" w14:textId="2E6FEE52" w:rsidR="00314294" w:rsidRDefault="00314294" w:rsidP="003415F7">
            <w:pPr>
              <w:spacing w:line="276" w:lineRule="auto"/>
            </w:pPr>
            <w:r>
              <w:t>C03CA01</w:t>
            </w:r>
          </w:p>
        </w:tc>
      </w:tr>
      <w:tr w:rsidR="00314294" w:rsidRPr="00F4066E" w14:paraId="6A4FDFDC" w14:textId="77777777" w:rsidTr="00F31D6E">
        <w:tc>
          <w:tcPr>
            <w:tcW w:w="4981" w:type="dxa"/>
          </w:tcPr>
          <w:p w14:paraId="468BBFF5" w14:textId="1CF3E310" w:rsidR="00314294" w:rsidRDefault="00314294" w:rsidP="003415F7">
            <w:pPr>
              <w:spacing w:line="276" w:lineRule="auto"/>
            </w:pPr>
            <w:r>
              <w:t xml:space="preserve">Metformin </w:t>
            </w:r>
          </w:p>
        </w:tc>
        <w:tc>
          <w:tcPr>
            <w:tcW w:w="4981" w:type="dxa"/>
          </w:tcPr>
          <w:p w14:paraId="7A500154" w14:textId="535A8C3E" w:rsidR="00314294" w:rsidRDefault="00314294" w:rsidP="003415F7">
            <w:pPr>
              <w:spacing w:line="276" w:lineRule="auto"/>
            </w:pPr>
            <w:r>
              <w:t>A10BA02</w:t>
            </w:r>
          </w:p>
        </w:tc>
      </w:tr>
      <w:tr w:rsidR="00314294" w:rsidRPr="00F4066E" w14:paraId="20E9844F" w14:textId="77777777" w:rsidTr="00F31D6E">
        <w:tc>
          <w:tcPr>
            <w:tcW w:w="4981" w:type="dxa"/>
          </w:tcPr>
          <w:p w14:paraId="6A90F218" w14:textId="48F9DD56" w:rsidR="00314294" w:rsidRDefault="00314294" w:rsidP="003415F7">
            <w:pPr>
              <w:spacing w:line="276" w:lineRule="auto"/>
            </w:pPr>
            <w:r>
              <w:t>Sulfonylurea</w:t>
            </w:r>
          </w:p>
        </w:tc>
        <w:tc>
          <w:tcPr>
            <w:tcW w:w="4981" w:type="dxa"/>
          </w:tcPr>
          <w:p w14:paraId="55A47356" w14:textId="34AD16CB" w:rsidR="00314294" w:rsidRDefault="00314294" w:rsidP="003415F7">
            <w:pPr>
              <w:spacing w:line="276" w:lineRule="auto"/>
            </w:pPr>
            <w:r>
              <w:t>A10BB</w:t>
            </w:r>
          </w:p>
        </w:tc>
      </w:tr>
      <w:tr w:rsidR="00314294" w:rsidRPr="00F4066E" w14:paraId="4703712A" w14:textId="77777777" w:rsidTr="00F31D6E">
        <w:tc>
          <w:tcPr>
            <w:tcW w:w="4981" w:type="dxa"/>
          </w:tcPr>
          <w:p w14:paraId="4D21289E" w14:textId="6F502875" w:rsidR="00314294" w:rsidRDefault="00314294" w:rsidP="003415F7">
            <w:pPr>
              <w:spacing w:line="276" w:lineRule="auto"/>
            </w:pPr>
            <w:r>
              <w:t>DPP-4 inhibitor</w:t>
            </w:r>
          </w:p>
        </w:tc>
        <w:tc>
          <w:tcPr>
            <w:tcW w:w="4981" w:type="dxa"/>
          </w:tcPr>
          <w:p w14:paraId="0C201CF4" w14:textId="712D11FA" w:rsidR="00314294" w:rsidRDefault="00314294" w:rsidP="003415F7">
            <w:pPr>
              <w:spacing w:line="276" w:lineRule="auto"/>
            </w:pPr>
            <w:r>
              <w:t>A10BH</w:t>
            </w:r>
          </w:p>
        </w:tc>
      </w:tr>
      <w:tr w:rsidR="00314294" w:rsidRPr="00F4066E" w14:paraId="69DC7177" w14:textId="77777777" w:rsidTr="00F31D6E">
        <w:tc>
          <w:tcPr>
            <w:tcW w:w="4981" w:type="dxa"/>
          </w:tcPr>
          <w:p w14:paraId="67BC3F06" w14:textId="69179F3A" w:rsidR="00314294" w:rsidRDefault="00314294" w:rsidP="003415F7">
            <w:pPr>
              <w:spacing w:line="276" w:lineRule="auto"/>
            </w:pPr>
            <w:r>
              <w:t>SGLT2 inhibitor</w:t>
            </w:r>
          </w:p>
        </w:tc>
        <w:tc>
          <w:tcPr>
            <w:tcW w:w="4981" w:type="dxa"/>
          </w:tcPr>
          <w:p w14:paraId="3BCAB05B" w14:textId="4A445434" w:rsidR="00314294" w:rsidRDefault="00314294" w:rsidP="003415F7">
            <w:pPr>
              <w:spacing w:line="276" w:lineRule="auto"/>
            </w:pPr>
            <w:r>
              <w:t>A10BK</w:t>
            </w:r>
          </w:p>
        </w:tc>
      </w:tr>
      <w:tr w:rsidR="00314294" w:rsidRPr="00F4066E" w14:paraId="26BB25DB" w14:textId="77777777" w:rsidTr="00F31D6E">
        <w:tc>
          <w:tcPr>
            <w:tcW w:w="4981" w:type="dxa"/>
          </w:tcPr>
          <w:p w14:paraId="5E761A2F" w14:textId="115DB005" w:rsidR="00314294" w:rsidRDefault="00314294" w:rsidP="003415F7">
            <w:pPr>
              <w:spacing w:line="276" w:lineRule="auto"/>
            </w:pPr>
            <w:r>
              <w:t>GLP-1 agonist</w:t>
            </w:r>
          </w:p>
        </w:tc>
        <w:tc>
          <w:tcPr>
            <w:tcW w:w="4981" w:type="dxa"/>
          </w:tcPr>
          <w:p w14:paraId="73D753EA" w14:textId="523677EF" w:rsidR="00314294" w:rsidRDefault="00314294" w:rsidP="003415F7">
            <w:pPr>
              <w:spacing w:line="276" w:lineRule="auto"/>
            </w:pPr>
            <w:r>
              <w:t>A10BJ</w:t>
            </w:r>
          </w:p>
        </w:tc>
      </w:tr>
      <w:tr w:rsidR="00314294" w:rsidRPr="00F4066E" w14:paraId="409E0162" w14:textId="77777777" w:rsidTr="00F31D6E">
        <w:tc>
          <w:tcPr>
            <w:tcW w:w="4981" w:type="dxa"/>
          </w:tcPr>
          <w:p w14:paraId="6CC596E8" w14:textId="0EA3F24B" w:rsidR="00314294" w:rsidRDefault="00314294" w:rsidP="003415F7">
            <w:pPr>
              <w:spacing w:line="276" w:lineRule="auto"/>
            </w:pPr>
            <w:proofErr w:type="spellStart"/>
            <w:r>
              <w:t>Glitazone</w:t>
            </w:r>
            <w:proofErr w:type="spellEnd"/>
          </w:p>
        </w:tc>
        <w:tc>
          <w:tcPr>
            <w:tcW w:w="4981" w:type="dxa"/>
          </w:tcPr>
          <w:p w14:paraId="733B2F99" w14:textId="4292D69A" w:rsidR="00314294" w:rsidRDefault="00314294" w:rsidP="003415F7">
            <w:pPr>
              <w:spacing w:line="276" w:lineRule="auto"/>
            </w:pPr>
            <w:r>
              <w:t>A10BG</w:t>
            </w:r>
          </w:p>
        </w:tc>
      </w:tr>
    </w:tbl>
    <w:p w14:paraId="163FA3FF" w14:textId="77777777" w:rsidR="00314294" w:rsidRPr="00F4066E" w:rsidRDefault="00314294" w:rsidP="003415F7">
      <w:pPr>
        <w:spacing w:line="276" w:lineRule="auto"/>
      </w:pPr>
    </w:p>
    <w:p w14:paraId="2B2E8E96" w14:textId="77777777" w:rsidR="00D40C11" w:rsidRPr="00F4066E" w:rsidRDefault="00D40C11" w:rsidP="003415F7">
      <w:pPr>
        <w:spacing w:line="276" w:lineRule="auto"/>
      </w:pPr>
      <w:r w:rsidRPr="00F4066E">
        <w:rPr>
          <w:b/>
        </w:rPr>
        <w:t xml:space="preserve">Table S3. </w:t>
      </w:r>
      <w:r w:rsidRPr="00F4066E">
        <w:t>International Classification of Disease 10</w:t>
      </w:r>
      <w:r w:rsidRPr="00F4066E">
        <w:rPr>
          <w:vertAlign w:val="superscript"/>
        </w:rPr>
        <w:t>th</w:t>
      </w:r>
      <w:r w:rsidRPr="00F4066E">
        <w:t xml:space="preserve"> revision (ICD-10) used for the definition of comorbidities. </w:t>
      </w:r>
    </w:p>
    <w:p w14:paraId="3420D8A6" w14:textId="77777777" w:rsidR="00D40C11" w:rsidRPr="00F4066E" w:rsidRDefault="00D40C11" w:rsidP="003415F7">
      <w:pPr>
        <w:spacing w:line="276" w:lineRule="auto"/>
      </w:pPr>
    </w:p>
    <w:tbl>
      <w:tblPr>
        <w:tblStyle w:val="TableGrid"/>
        <w:tblW w:w="0" w:type="auto"/>
        <w:tblLook w:val="04A0" w:firstRow="1" w:lastRow="0" w:firstColumn="1" w:lastColumn="0" w:noHBand="0" w:noVBand="1"/>
      </w:tblPr>
      <w:tblGrid>
        <w:gridCol w:w="4981"/>
        <w:gridCol w:w="4981"/>
      </w:tblGrid>
      <w:tr w:rsidR="00D40C11" w:rsidRPr="00F4066E" w14:paraId="2799477C" w14:textId="77777777" w:rsidTr="008E56FD">
        <w:tc>
          <w:tcPr>
            <w:tcW w:w="4981" w:type="dxa"/>
          </w:tcPr>
          <w:p w14:paraId="6B242F12" w14:textId="77777777" w:rsidR="00D40C11" w:rsidRPr="00F4066E" w:rsidRDefault="00D40C11" w:rsidP="003415F7">
            <w:pPr>
              <w:spacing w:line="276" w:lineRule="auto"/>
              <w:rPr>
                <w:b/>
              </w:rPr>
            </w:pPr>
            <w:r w:rsidRPr="00F4066E">
              <w:rPr>
                <w:b/>
              </w:rPr>
              <w:t>Comorbidity</w:t>
            </w:r>
          </w:p>
        </w:tc>
        <w:tc>
          <w:tcPr>
            <w:tcW w:w="4981" w:type="dxa"/>
          </w:tcPr>
          <w:p w14:paraId="662EAC6A" w14:textId="77777777" w:rsidR="00D40C11" w:rsidRPr="00F4066E" w:rsidRDefault="00D40C11" w:rsidP="003415F7">
            <w:pPr>
              <w:spacing w:line="276" w:lineRule="auto"/>
              <w:rPr>
                <w:b/>
              </w:rPr>
            </w:pPr>
            <w:r w:rsidRPr="00F4066E">
              <w:rPr>
                <w:b/>
              </w:rPr>
              <w:t>ICD-10 Codes</w:t>
            </w:r>
          </w:p>
        </w:tc>
      </w:tr>
      <w:tr w:rsidR="00D40C11" w:rsidRPr="00F4066E" w14:paraId="582E7823" w14:textId="77777777" w:rsidTr="008E56FD">
        <w:tc>
          <w:tcPr>
            <w:tcW w:w="4981" w:type="dxa"/>
          </w:tcPr>
          <w:p w14:paraId="64A10EE5" w14:textId="77777777" w:rsidR="00D40C11" w:rsidRPr="00F4066E" w:rsidRDefault="00D40C11" w:rsidP="003415F7">
            <w:pPr>
              <w:spacing w:line="276" w:lineRule="auto"/>
            </w:pPr>
            <w:r w:rsidRPr="00F4066E">
              <w:t>Acute myocardial infarction</w:t>
            </w:r>
          </w:p>
        </w:tc>
        <w:tc>
          <w:tcPr>
            <w:tcW w:w="4981" w:type="dxa"/>
          </w:tcPr>
          <w:p w14:paraId="11C54681" w14:textId="77777777" w:rsidR="00D40C11" w:rsidRPr="00F4066E" w:rsidRDefault="00D40C11" w:rsidP="003415F7">
            <w:pPr>
              <w:spacing w:line="276" w:lineRule="auto"/>
            </w:pPr>
            <w:r w:rsidRPr="00F4066E">
              <w:t>I21-I22</w:t>
            </w:r>
          </w:p>
        </w:tc>
      </w:tr>
      <w:tr w:rsidR="00D40C11" w:rsidRPr="00F4066E" w14:paraId="4866082A" w14:textId="77777777" w:rsidTr="008E56FD">
        <w:tc>
          <w:tcPr>
            <w:tcW w:w="4981" w:type="dxa"/>
          </w:tcPr>
          <w:p w14:paraId="09C3B62D" w14:textId="77777777" w:rsidR="00D40C11" w:rsidRPr="00F4066E" w:rsidRDefault="00D40C11" w:rsidP="003415F7">
            <w:pPr>
              <w:spacing w:line="276" w:lineRule="auto"/>
            </w:pPr>
            <w:r w:rsidRPr="00F4066E">
              <w:t>Ischemic heart disease</w:t>
            </w:r>
          </w:p>
        </w:tc>
        <w:tc>
          <w:tcPr>
            <w:tcW w:w="4981" w:type="dxa"/>
          </w:tcPr>
          <w:p w14:paraId="34309F8F" w14:textId="77777777" w:rsidR="00D40C11" w:rsidRPr="00F4066E" w:rsidRDefault="00D40C11" w:rsidP="003415F7">
            <w:pPr>
              <w:spacing w:line="276" w:lineRule="auto"/>
            </w:pPr>
            <w:r w:rsidRPr="00F4066E">
              <w:t>I20-I25</w:t>
            </w:r>
          </w:p>
        </w:tc>
      </w:tr>
      <w:tr w:rsidR="00D40C11" w:rsidRPr="00F4066E" w14:paraId="61A84A72" w14:textId="77777777" w:rsidTr="008E56FD">
        <w:tc>
          <w:tcPr>
            <w:tcW w:w="4981" w:type="dxa"/>
          </w:tcPr>
          <w:p w14:paraId="0D541D96" w14:textId="77777777" w:rsidR="00D40C11" w:rsidRPr="00F4066E" w:rsidRDefault="00D40C11" w:rsidP="003415F7">
            <w:pPr>
              <w:spacing w:line="276" w:lineRule="auto"/>
            </w:pPr>
            <w:r w:rsidRPr="00F4066E">
              <w:t>Valvular disease</w:t>
            </w:r>
          </w:p>
        </w:tc>
        <w:tc>
          <w:tcPr>
            <w:tcW w:w="4981" w:type="dxa"/>
          </w:tcPr>
          <w:p w14:paraId="6EFFAD4D" w14:textId="77777777" w:rsidR="00D40C11" w:rsidRPr="00F4066E" w:rsidRDefault="00D40C11" w:rsidP="003415F7">
            <w:pPr>
              <w:spacing w:line="276" w:lineRule="auto"/>
            </w:pPr>
            <w:r w:rsidRPr="00F4066E">
              <w:t>I34-I37</w:t>
            </w:r>
          </w:p>
        </w:tc>
      </w:tr>
      <w:tr w:rsidR="00D40C11" w:rsidRPr="00F4066E" w14:paraId="53F05A75" w14:textId="77777777" w:rsidTr="008E56FD">
        <w:tc>
          <w:tcPr>
            <w:tcW w:w="4981" w:type="dxa"/>
          </w:tcPr>
          <w:p w14:paraId="103CF1C6" w14:textId="77777777" w:rsidR="00D40C11" w:rsidRPr="00F4066E" w:rsidRDefault="00D40C11" w:rsidP="003415F7">
            <w:pPr>
              <w:spacing w:line="276" w:lineRule="auto"/>
            </w:pPr>
            <w:r w:rsidRPr="00F4066E">
              <w:t>Cerebrovascular disease</w:t>
            </w:r>
          </w:p>
        </w:tc>
        <w:tc>
          <w:tcPr>
            <w:tcW w:w="4981" w:type="dxa"/>
          </w:tcPr>
          <w:p w14:paraId="0D140429" w14:textId="77777777" w:rsidR="00D40C11" w:rsidRPr="00F4066E" w:rsidRDefault="00D40C11" w:rsidP="003415F7">
            <w:pPr>
              <w:spacing w:line="276" w:lineRule="auto"/>
            </w:pPr>
            <w:r w:rsidRPr="00F4066E">
              <w:t>I60-I69</w:t>
            </w:r>
          </w:p>
        </w:tc>
      </w:tr>
      <w:tr w:rsidR="00D40C11" w:rsidRPr="00F4066E" w14:paraId="60EFCA8F" w14:textId="77777777" w:rsidTr="008E56FD">
        <w:tc>
          <w:tcPr>
            <w:tcW w:w="4981" w:type="dxa"/>
          </w:tcPr>
          <w:p w14:paraId="57BB0AA0" w14:textId="77777777" w:rsidR="00D40C11" w:rsidRPr="00F4066E" w:rsidRDefault="00D40C11" w:rsidP="003415F7">
            <w:pPr>
              <w:spacing w:line="276" w:lineRule="auto"/>
            </w:pPr>
            <w:r w:rsidRPr="00F4066E">
              <w:t>Systemic embolus</w:t>
            </w:r>
          </w:p>
        </w:tc>
        <w:tc>
          <w:tcPr>
            <w:tcW w:w="4981" w:type="dxa"/>
          </w:tcPr>
          <w:p w14:paraId="3D938F5D" w14:textId="77777777" w:rsidR="00D40C11" w:rsidRPr="00F4066E" w:rsidRDefault="00D40C11" w:rsidP="003415F7">
            <w:pPr>
              <w:spacing w:line="276" w:lineRule="auto"/>
            </w:pPr>
            <w:r w:rsidRPr="00F4066E">
              <w:t>I26, I74</w:t>
            </w:r>
          </w:p>
        </w:tc>
      </w:tr>
      <w:tr w:rsidR="00D40C11" w:rsidRPr="00F4066E" w14:paraId="638B3070" w14:textId="77777777" w:rsidTr="008E56FD">
        <w:tc>
          <w:tcPr>
            <w:tcW w:w="4981" w:type="dxa"/>
          </w:tcPr>
          <w:p w14:paraId="6A3ABFBD" w14:textId="77777777" w:rsidR="00D40C11" w:rsidRPr="00F4066E" w:rsidRDefault="00D40C11" w:rsidP="003415F7">
            <w:pPr>
              <w:spacing w:line="276" w:lineRule="auto"/>
            </w:pPr>
            <w:r w:rsidRPr="00F4066E">
              <w:t>Cancer</w:t>
            </w:r>
          </w:p>
        </w:tc>
        <w:tc>
          <w:tcPr>
            <w:tcW w:w="4981" w:type="dxa"/>
          </w:tcPr>
          <w:p w14:paraId="6ADAB629" w14:textId="77777777" w:rsidR="00D40C11" w:rsidRPr="00F4066E" w:rsidRDefault="00D40C11" w:rsidP="003415F7">
            <w:pPr>
              <w:spacing w:line="276" w:lineRule="auto"/>
            </w:pPr>
            <w:r w:rsidRPr="00F4066E">
              <w:t>C00-C97</w:t>
            </w:r>
          </w:p>
        </w:tc>
      </w:tr>
      <w:tr w:rsidR="00D40C11" w:rsidRPr="00F4066E" w14:paraId="33242572" w14:textId="77777777" w:rsidTr="008E56FD">
        <w:tc>
          <w:tcPr>
            <w:tcW w:w="4981" w:type="dxa"/>
          </w:tcPr>
          <w:p w14:paraId="48D20A60" w14:textId="41E71E8E" w:rsidR="00D40C11" w:rsidRPr="00F4066E" w:rsidRDefault="00D40C11" w:rsidP="003415F7">
            <w:pPr>
              <w:spacing w:line="276" w:lineRule="auto"/>
            </w:pPr>
            <w:r w:rsidRPr="00F4066E">
              <w:t>Atrial Fibrillation</w:t>
            </w:r>
            <w:r w:rsidR="004B0BE9">
              <w:t xml:space="preserve"> or flutter</w:t>
            </w:r>
          </w:p>
        </w:tc>
        <w:tc>
          <w:tcPr>
            <w:tcW w:w="4981" w:type="dxa"/>
          </w:tcPr>
          <w:p w14:paraId="3CE4DDF7" w14:textId="77777777" w:rsidR="00D40C11" w:rsidRPr="00F4066E" w:rsidRDefault="00D40C11" w:rsidP="003415F7">
            <w:pPr>
              <w:spacing w:line="276" w:lineRule="auto"/>
            </w:pPr>
            <w:r w:rsidRPr="00F4066E">
              <w:t>I48</w:t>
            </w:r>
          </w:p>
        </w:tc>
      </w:tr>
      <w:tr w:rsidR="002228E3" w:rsidRPr="00F4066E" w14:paraId="36EFD92E" w14:textId="77777777" w:rsidTr="008E56FD">
        <w:tc>
          <w:tcPr>
            <w:tcW w:w="4981" w:type="dxa"/>
          </w:tcPr>
          <w:p w14:paraId="27D61597" w14:textId="789BA156" w:rsidR="002228E3" w:rsidRPr="00F4066E" w:rsidRDefault="002228E3" w:rsidP="003415F7">
            <w:pPr>
              <w:spacing w:line="276" w:lineRule="auto"/>
            </w:pPr>
            <w:r>
              <w:t>Heart failure</w:t>
            </w:r>
          </w:p>
        </w:tc>
        <w:tc>
          <w:tcPr>
            <w:tcW w:w="4981" w:type="dxa"/>
          </w:tcPr>
          <w:p w14:paraId="5B07024B" w14:textId="058956EF" w:rsidR="002228E3" w:rsidRPr="00F4066E" w:rsidRDefault="002228E3" w:rsidP="003415F7">
            <w:pPr>
              <w:spacing w:line="276" w:lineRule="auto"/>
            </w:pPr>
            <w:r>
              <w:t>I50, I110, I130, I132</w:t>
            </w:r>
          </w:p>
        </w:tc>
      </w:tr>
      <w:tr w:rsidR="00D40C11" w:rsidRPr="00F4066E" w14:paraId="04E1596A" w14:textId="77777777" w:rsidTr="008E56FD">
        <w:tc>
          <w:tcPr>
            <w:tcW w:w="4981" w:type="dxa"/>
          </w:tcPr>
          <w:p w14:paraId="0CBD62A7" w14:textId="77777777" w:rsidR="00D40C11" w:rsidRPr="00F4066E" w:rsidRDefault="00D40C11" w:rsidP="003415F7">
            <w:pPr>
              <w:spacing w:line="276" w:lineRule="auto"/>
            </w:pPr>
            <w:r w:rsidRPr="00F4066E">
              <w:t>Chronic renal failure</w:t>
            </w:r>
          </w:p>
        </w:tc>
        <w:tc>
          <w:tcPr>
            <w:tcW w:w="4981" w:type="dxa"/>
          </w:tcPr>
          <w:p w14:paraId="587E6B25" w14:textId="77777777" w:rsidR="00D40C11" w:rsidRPr="00F4066E" w:rsidRDefault="00D40C11" w:rsidP="003415F7">
            <w:pPr>
              <w:spacing w:line="276" w:lineRule="auto"/>
            </w:pPr>
            <w:r w:rsidRPr="00F4066E">
              <w:t>N18, I12-I13</w:t>
            </w:r>
          </w:p>
        </w:tc>
      </w:tr>
      <w:tr w:rsidR="00D40C11" w:rsidRPr="00F4066E" w14:paraId="1B90DED6" w14:textId="77777777" w:rsidTr="008E56FD">
        <w:tc>
          <w:tcPr>
            <w:tcW w:w="4981" w:type="dxa"/>
          </w:tcPr>
          <w:p w14:paraId="78E34388" w14:textId="77777777" w:rsidR="00D40C11" w:rsidRPr="00F4066E" w:rsidRDefault="00D40C11" w:rsidP="003415F7">
            <w:pPr>
              <w:spacing w:line="276" w:lineRule="auto"/>
            </w:pPr>
            <w:proofErr w:type="spellStart"/>
            <w:r w:rsidRPr="00F4066E">
              <w:t>Anemia</w:t>
            </w:r>
            <w:proofErr w:type="spellEnd"/>
          </w:p>
        </w:tc>
        <w:tc>
          <w:tcPr>
            <w:tcW w:w="4981" w:type="dxa"/>
          </w:tcPr>
          <w:p w14:paraId="41A2BF47" w14:textId="77777777" w:rsidR="00D40C11" w:rsidRPr="00F4066E" w:rsidRDefault="00D40C11" w:rsidP="003415F7">
            <w:pPr>
              <w:spacing w:line="276" w:lineRule="auto"/>
            </w:pPr>
            <w:r w:rsidRPr="00F4066E">
              <w:t>D50, D62, D64</w:t>
            </w:r>
          </w:p>
        </w:tc>
      </w:tr>
      <w:tr w:rsidR="008E56FD" w:rsidRPr="00F4066E" w14:paraId="05B7DFBE" w14:textId="77777777" w:rsidTr="008E56FD">
        <w:tc>
          <w:tcPr>
            <w:tcW w:w="4981" w:type="dxa"/>
          </w:tcPr>
          <w:p w14:paraId="79F2CC6E" w14:textId="5D4D6AC6" w:rsidR="008E56FD" w:rsidRPr="00F4066E" w:rsidRDefault="008E56FD" w:rsidP="003415F7">
            <w:pPr>
              <w:spacing w:line="276" w:lineRule="auto"/>
            </w:pPr>
            <w:r w:rsidRPr="00F4066E">
              <w:t>Chronic obstructive pulmonary disease</w:t>
            </w:r>
          </w:p>
        </w:tc>
        <w:tc>
          <w:tcPr>
            <w:tcW w:w="4981" w:type="dxa"/>
          </w:tcPr>
          <w:p w14:paraId="72997F5C" w14:textId="4A4D8C41" w:rsidR="008E56FD" w:rsidRPr="00F4066E" w:rsidRDefault="008E56FD" w:rsidP="003415F7">
            <w:pPr>
              <w:spacing w:line="276" w:lineRule="auto"/>
            </w:pPr>
            <w:r w:rsidRPr="00F4066E">
              <w:t>J42, J44</w:t>
            </w:r>
          </w:p>
        </w:tc>
      </w:tr>
      <w:tr w:rsidR="008E56FD" w:rsidRPr="00F4066E" w14:paraId="628261E3" w14:textId="77777777" w:rsidTr="008E56FD">
        <w:tc>
          <w:tcPr>
            <w:tcW w:w="4981" w:type="dxa"/>
          </w:tcPr>
          <w:p w14:paraId="7A0F1E1D" w14:textId="56698CEB" w:rsidR="008E56FD" w:rsidRPr="00F4066E" w:rsidRDefault="008E56FD" w:rsidP="003415F7">
            <w:pPr>
              <w:spacing w:line="276" w:lineRule="auto"/>
            </w:pPr>
            <w:r w:rsidRPr="00F4066E">
              <w:t>Peripheral vascular disease</w:t>
            </w:r>
          </w:p>
        </w:tc>
        <w:tc>
          <w:tcPr>
            <w:tcW w:w="4981" w:type="dxa"/>
          </w:tcPr>
          <w:p w14:paraId="3103312D" w14:textId="5774407A" w:rsidR="008E56FD" w:rsidRPr="00F4066E" w:rsidRDefault="008E56FD" w:rsidP="003415F7">
            <w:pPr>
              <w:spacing w:line="276" w:lineRule="auto"/>
            </w:pPr>
            <w:r w:rsidRPr="00F4066E">
              <w:t>I70, I74</w:t>
            </w:r>
          </w:p>
        </w:tc>
      </w:tr>
      <w:tr w:rsidR="008E56FD" w:rsidRPr="00F4066E" w14:paraId="3738EC9E" w14:textId="77777777" w:rsidTr="008E56FD">
        <w:tc>
          <w:tcPr>
            <w:tcW w:w="4981" w:type="dxa"/>
          </w:tcPr>
          <w:p w14:paraId="3EF239CD" w14:textId="54BD707E" w:rsidR="008E56FD" w:rsidRPr="00F4066E" w:rsidRDefault="008E56FD" w:rsidP="003415F7">
            <w:pPr>
              <w:spacing w:line="276" w:lineRule="auto"/>
            </w:pPr>
            <w:r w:rsidRPr="00F4066E">
              <w:t>Liver disease</w:t>
            </w:r>
          </w:p>
        </w:tc>
        <w:tc>
          <w:tcPr>
            <w:tcW w:w="4981" w:type="dxa"/>
          </w:tcPr>
          <w:p w14:paraId="6DA03C5F" w14:textId="21D9E0B0" w:rsidR="008E56FD" w:rsidRPr="00F4066E" w:rsidRDefault="008E56FD" w:rsidP="003415F7">
            <w:pPr>
              <w:spacing w:line="276" w:lineRule="auto"/>
            </w:pPr>
            <w:r w:rsidRPr="00F4066E">
              <w:t>K70-K77, B150, B160, B190</w:t>
            </w:r>
          </w:p>
        </w:tc>
      </w:tr>
      <w:tr w:rsidR="008E56FD" w:rsidRPr="00F4066E" w14:paraId="77271831" w14:textId="77777777" w:rsidTr="008E56FD">
        <w:tc>
          <w:tcPr>
            <w:tcW w:w="4981" w:type="dxa"/>
          </w:tcPr>
          <w:p w14:paraId="0D2A91BB" w14:textId="075BF6E2" w:rsidR="008E56FD" w:rsidRPr="00F4066E" w:rsidRDefault="008E56FD" w:rsidP="003415F7">
            <w:pPr>
              <w:spacing w:line="276" w:lineRule="auto"/>
            </w:pPr>
            <w:r w:rsidRPr="00F4066E">
              <w:t>Rheumatic disease</w:t>
            </w:r>
          </w:p>
        </w:tc>
        <w:tc>
          <w:tcPr>
            <w:tcW w:w="4981" w:type="dxa"/>
          </w:tcPr>
          <w:p w14:paraId="35256882" w14:textId="1A3AB461" w:rsidR="008E56FD" w:rsidRPr="00F4066E" w:rsidRDefault="008E56FD" w:rsidP="003415F7">
            <w:pPr>
              <w:spacing w:line="276" w:lineRule="auto"/>
            </w:pPr>
            <w:r w:rsidRPr="00F4066E">
              <w:t>M05-M06, M32-M34, M353</w:t>
            </w:r>
          </w:p>
        </w:tc>
      </w:tr>
      <w:tr w:rsidR="008E56FD" w:rsidRPr="00F4066E" w14:paraId="234B97A0" w14:textId="77777777" w:rsidTr="008E56FD">
        <w:tc>
          <w:tcPr>
            <w:tcW w:w="4981" w:type="dxa"/>
          </w:tcPr>
          <w:p w14:paraId="31D80F41" w14:textId="3D65B652" w:rsidR="008E56FD" w:rsidRPr="00F4066E" w:rsidRDefault="008E56FD" w:rsidP="003415F7">
            <w:pPr>
              <w:spacing w:line="276" w:lineRule="auto"/>
            </w:pPr>
            <w:r w:rsidRPr="00F4066E">
              <w:t>Peptic ulcer</w:t>
            </w:r>
          </w:p>
        </w:tc>
        <w:tc>
          <w:tcPr>
            <w:tcW w:w="4981" w:type="dxa"/>
          </w:tcPr>
          <w:p w14:paraId="48CE0967" w14:textId="4422D5A0" w:rsidR="008E56FD" w:rsidRPr="00F4066E" w:rsidRDefault="008E56FD" w:rsidP="003415F7">
            <w:pPr>
              <w:spacing w:line="276" w:lineRule="auto"/>
            </w:pPr>
            <w:r w:rsidRPr="00F4066E">
              <w:t>K25-K27, K29</w:t>
            </w:r>
          </w:p>
        </w:tc>
      </w:tr>
    </w:tbl>
    <w:p w14:paraId="2D0929B5" w14:textId="77777777" w:rsidR="00D40C11" w:rsidRPr="00F4066E" w:rsidRDefault="00D40C11" w:rsidP="003415F7">
      <w:pPr>
        <w:spacing w:line="276" w:lineRule="auto"/>
      </w:pPr>
    </w:p>
    <w:p w14:paraId="58DA9F24" w14:textId="77777777" w:rsidR="00A028E9" w:rsidRDefault="00A028E9" w:rsidP="003415F7">
      <w:pPr>
        <w:spacing w:line="276" w:lineRule="auto"/>
        <w:sectPr w:rsidR="00A028E9" w:rsidSect="006E6D75">
          <w:pgSz w:w="12240" w:h="20160" w:code="5"/>
          <w:pgMar w:top="1701" w:right="1134" w:bottom="1701" w:left="1134" w:header="708" w:footer="708" w:gutter="0"/>
          <w:cols w:space="708"/>
          <w:docGrid w:linePitch="360"/>
        </w:sectPr>
      </w:pPr>
    </w:p>
    <w:p w14:paraId="44DD73C5" w14:textId="5D62B6B5" w:rsidR="001B0451" w:rsidRPr="00A028E9" w:rsidRDefault="00FD0F7C" w:rsidP="003415F7">
      <w:pPr>
        <w:spacing w:line="276" w:lineRule="auto"/>
        <w:rPr>
          <w:b/>
          <w:bCs/>
          <w:sz w:val="32"/>
          <w:szCs w:val="32"/>
        </w:rPr>
      </w:pPr>
      <w:r>
        <w:rPr>
          <w:b/>
          <w:bCs/>
          <w:sz w:val="32"/>
          <w:szCs w:val="32"/>
        </w:rPr>
        <w:lastRenderedPageBreak/>
        <w:t>SUPPLEMENTAL FIGURE</w:t>
      </w:r>
      <w:r w:rsidR="00A028E9" w:rsidRPr="00A028E9">
        <w:rPr>
          <w:b/>
          <w:bCs/>
          <w:sz w:val="32"/>
          <w:szCs w:val="32"/>
        </w:rPr>
        <w:t xml:space="preserve"> 1</w:t>
      </w:r>
    </w:p>
    <w:p w14:paraId="69AAAAD5" w14:textId="10815CAD" w:rsidR="00A028E9" w:rsidRDefault="00A028E9" w:rsidP="003415F7">
      <w:pPr>
        <w:spacing w:line="276" w:lineRule="auto"/>
        <w:rPr>
          <w:b/>
          <w:bCs/>
        </w:rPr>
      </w:pPr>
      <w:r>
        <w:rPr>
          <w:noProof/>
        </w:rPr>
        <w:drawing>
          <wp:inline distT="0" distB="0" distL="0" distR="0" wp14:anchorId="2F2D96F4" wp14:editId="0304DF7E">
            <wp:extent cx="8471535" cy="5066459"/>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cc_coverage.jpg"/>
                    <pic:cNvPicPr/>
                  </pic:nvPicPr>
                  <pic:blipFill>
                    <a:blip r:embed="rId4">
                      <a:extLst>
                        <a:ext uri="{28A0092B-C50C-407E-A947-70E740481C1C}">
                          <a14:useLocalDpi xmlns:a14="http://schemas.microsoft.com/office/drawing/2010/main" val="0"/>
                        </a:ext>
                      </a:extLst>
                    </a:blip>
                    <a:stretch>
                      <a:fillRect/>
                    </a:stretch>
                  </pic:blipFill>
                  <pic:spPr>
                    <a:xfrm>
                      <a:off x="0" y="0"/>
                      <a:ext cx="8485585" cy="5074862"/>
                    </a:xfrm>
                    <a:prstGeom prst="rect">
                      <a:avLst/>
                    </a:prstGeom>
                  </pic:spPr>
                </pic:pic>
              </a:graphicData>
            </a:graphic>
          </wp:inline>
        </w:drawing>
      </w:r>
    </w:p>
    <w:p w14:paraId="4DCD1C35" w14:textId="1DC31DB0" w:rsidR="00A028E9" w:rsidRDefault="00A028E9" w:rsidP="003415F7">
      <w:pPr>
        <w:spacing w:line="276" w:lineRule="auto"/>
        <w:rPr>
          <w:b/>
          <w:bCs/>
        </w:rPr>
      </w:pPr>
    </w:p>
    <w:p w14:paraId="5907CCF7" w14:textId="77777777" w:rsidR="002E2CC4" w:rsidRDefault="00A028E9" w:rsidP="002E2CC4">
      <w:pPr>
        <w:spacing w:line="480" w:lineRule="auto"/>
        <w:jc w:val="both"/>
        <w:rPr>
          <w:i/>
          <w:color w:val="000000" w:themeColor="text1"/>
        </w:rPr>
        <w:sectPr w:rsidR="002E2CC4" w:rsidSect="00A028E9">
          <w:pgSz w:w="20160" w:h="12240" w:orient="landscape" w:code="5"/>
          <w:pgMar w:top="1134" w:right="1701" w:bottom="1134" w:left="1701" w:header="708" w:footer="708" w:gutter="0"/>
          <w:cols w:space="708"/>
          <w:docGrid w:linePitch="360"/>
        </w:sectPr>
      </w:pPr>
      <w:r w:rsidRPr="00132B9D">
        <w:rPr>
          <w:i/>
          <w:color w:val="000000" w:themeColor="text1"/>
        </w:rPr>
        <w:t>Legend: Vaccination coverage, all-cause mortality rate and cardiovascular mortality rate in each season included in the study. A season denotes the period December 1 until April 1 the following year. For example, in this figure, “2007-2008” denotes the period December 1, 2007 – April 1, 2008.</w:t>
      </w:r>
    </w:p>
    <w:p w14:paraId="3C2B6838" w14:textId="150A3109" w:rsidR="002E2CC4" w:rsidRPr="00A028E9" w:rsidRDefault="00FD0F7C" w:rsidP="002E2CC4">
      <w:pPr>
        <w:spacing w:line="276" w:lineRule="auto"/>
        <w:rPr>
          <w:b/>
          <w:bCs/>
          <w:sz w:val="32"/>
          <w:szCs w:val="32"/>
        </w:rPr>
      </w:pPr>
      <w:r>
        <w:rPr>
          <w:b/>
          <w:bCs/>
          <w:sz w:val="32"/>
          <w:szCs w:val="32"/>
        </w:rPr>
        <w:lastRenderedPageBreak/>
        <w:t>SUPPLEMENTAL FIGURE</w:t>
      </w:r>
      <w:r w:rsidR="002E2CC4" w:rsidRPr="00A028E9">
        <w:rPr>
          <w:b/>
          <w:bCs/>
          <w:sz w:val="32"/>
          <w:szCs w:val="32"/>
        </w:rPr>
        <w:t xml:space="preserve"> </w:t>
      </w:r>
      <w:r w:rsidR="0083079E">
        <w:rPr>
          <w:b/>
          <w:bCs/>
          <w:sz w:val="32"/>
          <w:szCs w:val="32"/>
        </w:rPr>
        <w:t>2</w:t>
      </w:r>
    </w:p>
    <w:p w14:paraId="28BCD048" w14:textId="41498560" w:rsidR="00FD0F7C" w:rsidRDefault="002E2CC4" w:rsidP="00A028E9">
      <w:pPr>
        <w:spacing w:line="480" w:lineRule="auto"/>
        <w:jc w:val="both"/>
        <w:rPr>
          <w:i/>
          <w:color w:val="000000" w:themeColor="text1"/>
        </w:rPr>
      </w:pPr>
      <w:r>
        <w:rPr>
          <w:noProof/>
        </w:rPr>
        <w:drawing>
          <wp:inline distT="0" distB="0" distL="0" distR="0" wp14:anchorId="413BF707" wp14:editId="4482B493">
            <wp:extent cx="6327140" cy="676819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liminære_results/figures/data/seasons_comb.jpe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327140" cy="6768195"/>
                    </a:xfrm>
                    <a:prstGeom prst="rect">
                      <a:avLst/>
                    </a:prstGeom>
                    <a:noFill/>
                    <a:ln>
                      <a:noFill/>
                    </a:ln>
                  </pic:spPr>
                </pic:pic>
              </a:graphicData>
            </a:graphic>
          </wp:inline>
        </w:drawing>
      </w:r>
    </w:p>
    <w:p w14:paraId="2A9C7A7B" w14:textId="26D531C8" w:rsidR="00FD0F7C" w:rsidRPr="00910566" w:rsidRDefault="00FD0F7C" w:rsidP="00FD0F7C">
      <w:pPr>
        <w:spacing w:line="480" w:lineRule="auto"/>
        <w:rPr>
          <w:i/>
        </w:rPr>
      </w:pPr>
      <w:r>
        <w:rPr>
          <w:i/>
        </w:rPr>
        <w:t>Legend</w:t>
      </w:r>
      <w:r w:rsidRPr="000B7ECC">
        <w:rPr>
          <w:i/>
        </w:rPr>
        <w:t xml:space="preserve">: </w:t>
      </w:r>
      <w:r w:rsidRPr="00910566">
        <w:rPr>
          <w:i/>
        </w:rPr>
        <w:t>Landmark analyses assessing the association between influenza vaccination and outcome in each</w:t>
      </w:r>
      <w:r>
        <w:rPr>
          <w:i/>
        </w:rPr>
        <w:t xml:space="preserve"> separate</w:t>
      </w:r>
      <w:r w:rsidRPr="00910566">
        <w:rPr>
          <w:i/>
        </w:rPr>
        <w:t xml:space="preserve"> influenza season included in the study. In all analyses the reference is no vaccination</w:t>
      </w:r>
      <w:r>
        <w:rPr>
          <w:i/>
        </w:rPr>
        <w:t xml:space="preserve"> in the given season</w:t>
      </w:r>
      <w:r w:rsidRPr="00910566">
        <w:rPr>
          <w:i/>
        </w:rPr>
        <w:t>.</w:t>
      </w:r>
      <w:r w:rsidRPr="000B7ECC">
        <w:rPr>
          <w:i/>
          <w:color w:val="000000" w:themeColor="text1"/>
        </w:rPr>
        <w:t xml:space="preserve"> For each season, follow-up was counted from </w:t>
      </w:r>
      <w:r w:rsidRPr="00FA1A1A">
        <w:rPr>
          <w:i/>
          <w:color w:val="000000" w:themeColor="text1"/>
        </w:rPr>
        <w:t>December 1 and ended on April 1 the next year, encompassing the period of high influenza activity in Denmark. The Cox regression models were adjusted for all variables displayed in Table 1</w:t>
      </w:r>
      <w:r w:rsidRPr="000B7ECC">
        <w:rPr>
          <w:i/>
          <w:color w:val="000000" w:themeColor="text1"/>
        </w:rPr>
        <w:t>.</w:t>
      </w:r>
      <w:r w:rsidR="00201630">
        <w:rPr>
          <w:i/>
          <w:color w:val="000000" w:themeColor="text1"/>
        </w:rPr>
        <w:t xml:space="preserve"> *Denotes the total number of unique patients included in the study when considering all seasons</w:t>
      </w:r>
    </w:p>
    <w:p w14:paraId="50138684" w14:textId="77777777" w:rsidR="00FD0F7C" w:rsidRPr="006E5DD3" w:rsidRDefault="00FD0F7C" w:rsidP="00FD0F7C">
      <w:pPr>
        <w:spacing w:line="276" w:lineRule="auto"/>
      </w:pPr>
    </w:p>
    <w:p w14:paraId="033B584F" w14:textId="77777777" w:rsidR="00FD0F7C" w:rsidRPr="00FD0F7C" w:rsidRDefault="00FD0F7C" w:rsidP="00A028E9">
      <w:pPr>
        <w:spacing w:line="480" w:lineRule="auto"/>
        <w:jc w:val="both"/>
        <w:rPr>
          <w:iCs/>
          <w:color w:val="000000" w:themeColor="text1"/>
        </w:rPr>
      </w:pPr>
    </w:p>
    <w:sectPr w:rsidR="00FD0F7C" w:rsidRPr="00FD0F7C" w:rsidSect="002E2CC4">
      <w:pgSz w:w="12240" w:h="20160" w:code="5"/>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9E"/>
    <w:rsid w:val="00004EC0"/>
    <w:rsid w:val="00007206"/>
    <w:rsid w:val="00021012"/>
    <w:rsid w:val="00022B78"/>
    <w:rsid w:val="00030CA6"/>
    <w:rsid w:val="00035E64"/>
    <w:rsid w:val="000364E0"/>
    <w:rsid w:val="00037C7F"/>
    <w:rsid w:val="0004580D"/>
    <w:rsid w:val="000603D3"/>
    <w:rsid w:val="00061C6B"/>
    <w:rsid w:val="00071AAE"/>
    <w:rsid w:val="000723BB"/>
    <w:rsid w:val="00074926"/>
    <w:rsid w:val="000756A0"/>
    <w:rsid w:val="0008060B"/>
    <w:rsid w:val="0008092E"/>
    <w:rsid w:val="00092C50"/>
    <w:rsid w:val="00093B7F"/>
    <w:rsid w:val="00096D70"/>
    <w:rsid w:val="000A0DCE"/>
    <w:rsid w:val="000C0F94"/>
    <w:rsid w:val="000D615F"/>
    <w:rsid w:val="000D6C68"/>
    <w:rsid w:val="000E1336"/>
    <w:rsid w:val="000E68DE"/>
    <w:rsid w:val="000E7C31"/>
    <w:rsid w:val="000F1108"/>
    <w:rsid w:val="000F68E5"/>
    <w:rsid w:val="00100A94"/>
    <w:rsid w:val="001014F7"/>
    <w:rsid w:val="00103DE3"/>
    <w:rsid w:val="00105694"/>
    <w:rsid w:val="001056BD"/>
    <w:rsid w:val="001065A9"/>
    <w:rsid w:val="001066AC"/>
    <w:rsid w:val="001107C7"/>
    <w:rsid w:val="00117ECF"/>
    <w:rsid w:val="001265ED"/>
    <w:rsid w:val="00127B84"/>
    <w:rsid w:val="00130B12"/>
    <w:rsid w:val="00137127"/>
    <w:rsid w:val="001423BE"/>
    <w:rsid w:val="001444FD"/>
    <w:rsid w:val="001453D8"/>
    <w:rsid w:val="00150620"/>
    <w:rsid w:val="0016055C"/>
    <w:rsid w:val="0016321D"/>
    <w:rsid w:val="00167D15"/>
    <w:rsid w:val="00171070"/>
    <w:rsid w:val="0019284A"/>
    <w:rsid w:val="001961A2"/>
    <w:rsid w:val="001A3FFE"/>
    <w:rsid w:val="001B0451"/>
    <w:rsid w:val="001D381C"/>
    <w:rsid w:val="001E07FC"/>
    <w:rsid w:val="001E5768"/>
    <w:rsid w:val="001F1480"/>
    <w:rsid w:val="001F314F"/>
    <w:rsid w:val="001F4A25"/>
    <w:rsid w:val="00201630"/>
    <w:rsid w:val="00201CD8"/>
    <w:rsid w:val="00210422"/>
    <w:rsid w:val="00217DF0"/>
    <w:rsid w:val="002228E3"/>
    <w:rsid w:val="00223845"/>
    <w:rsid w:val="00226850"/>
    <w:rsid w:val="00236B2C"/>
    <w:rsid w:val="00245A77"/>
    <w:rsid w:val="00245DFA"/>
    <w:rsid w:val="00251BAA"/>
    <w:rsid w:val="00257119"/>
    <w:rsid w:val="00257A21"/>
    <w:rsid w:val="00257A84"/>
    <w:rsid w:val="00261973"/>
    <w:rsid w:val="00262963"/>
    <w:rsid w:val="0028697D"/>
    <w:rsid w:val="002902C0"/>
    <w:rsid w:val="002A3884"/>
    <w:rsid w:val="002A3BB9"/>
    <w:rsid w:val="002A3BBB"/>
    <w:rsid w:val="002B4007"/>
    <w:rsid w:val="002C61B8"/>
    <w:rsid w:val="002D2125"/>
    <w:rsid w:val="002D6CF2"/>
    <w:rsid w:val="002E2CC4"/>
    <w:rsid w:val="002E7FAE"/>
    <w:rsid w:val="002F1790"/>
    <w:rsid w:val="00303EEA"/>
    <w:rsid w:val="00314294"/>
    <w:rsid w:val="00314979"/>
    <w:rsid w:val="0031765C"/>
    <w:rsid w:val="003242E1"/>
    <w:rsid w:val="0032600E"/>
    <w:rsid w:val="00336FB4"/>
    <w:rsid w:val="00337BA1"/>
    <w:rsid w:val="00337FFD"/>
    <w:rsid w:val="003415F7"/>
    <w:rsid w:val="003503F0"/>
    <w:rsid w:val="00363AF0"/>
    <w:rsid w:val="00374A48"/>
    <w:rsid w:val="00374F7F"/>
    <w:rsid w:val="00381B63"/>
    <w:rsid w:val="00381CA8"/>
    <w:rsid w:val="00383759"/>
    <w:rsid w:val="00384013"/>
    <w:rsid w:val="0038506B"/>
    <w:rsid w:val="00386A86"/>
    <w:rsid w:val="00387C8C"/>
    <w:rsid w:val="00391B73"/>
    <w:rsid w:val="00395671"/>
    <w:rsid w:val="003A5CA1"/>
    <w:rsid w:val="003A624F"/>
    <w:rsid w:val="003A63AB"/>
    <w:rsid w:val="003A6645"/>
    <w:rsid w:val="003A665D"/>
    <w:rsid w:val="003A7B56"/>
    <w:rsid w:val="003C096B"/>
    <w:rsid w:val="003C643D"/>
    <w:rsid w:val="003F03DF"/>
    <w:rsid w:val="003F74DD"/>
    <w:rsid w:val="0040395B"/>
    <w:rsid w:val="004072BC"/>
    <w:rsid w:val="00407D70"/>
    <w:rsid w:val="00410264"/>
    <w:rsid w:val="0042631A"/>
    <w:rsid w:val="00431A70"/>
    <w:rsid w:val="00440B81"/>
    <w:rsid w:val="004418AF"/>
    <w:rsid w:val="004452BD"/>
    <w:rsid w:val="00445387"/>
    <w:rsid w:val="00454155"/>
    <w:rsid w:val="00457808"/>
    <w:rsid w:val="00484BCC"/>
    <w:rsid w:val="00490BA1"/>
    <w:rsid w:val="004917BD"/>
    <w:rsid w:val="00493B3C"/>
    <w:rsid w:val="004A2CCE"/>
    <w:rsid w:val="004B0BE9"/>
    <w:rsid w:val="004D08C9"/>
    <w:rsid w:val="004D7B86"/>
    <w:rsid w:val="004E216A"/>
    <w:rsid w:val="004E60E2"/>
    <w:rsid w:val="005008B5"/>
    <w:rsid w:val="0051151D"/>
    <w:rsid w:val="0051418C"/>
    <w:rsid w:val="00516E58"/>
    <w:rsid w:val="00523DA4"/>
    <w:rsid w:val="00531507"/>
    <w:rsid w:val="00531EE0"/>
    <w:rsid w:val="005509DD"/>
    <w:rsid w:val="00551297"/>
    <w:rsid w:val="00551E80"/>
    <w:rsid w:val="00556078"/>
    <w:rsid w:val="00556D5A"/>
    <w:rsid w:val="00563DB7"/>
    <w:rsid w:val="00565532"/>
    <w:rsid w:val="00571193"/>
    <w:rsid w:val="00571EC8"/>
    <w:rsid w:val="00584EF6"/>
    <w:rsid w:val="00591DFE"/>
    <w:rsid w:val="005941CF"/>
    <w:rsid w:val="005B0DB1"/>
    <w:rsid w:val="005B2A15"/>
    <w:rsid w:val="005D1CB2"/>
    <w:rsid w:val="005F0C43"/>
    <w:rsid w:val="005F1235"/>
    <w:rsid w:val="005F5F14"/>
    <w:rsid w:val="005F60DD"/>
    <w:rsid w:val="00601C62"/>
    <w:rsid w:val="0060376E"/>
    <w:rsid w:val="00610E30"/>
    <w:rsid w:val="006139CB"/>
    <w:rsid w:val="00617787"/>
    <w:rsid w:val="00626127"/>
    <w:rsid w:val="00627652"/>
    <w:rsid w:val="00632E25"/>
    <w:rsid w:val="0063390F"/>
    <w:rsid w:val="00633A4A"/>
    <w:rsid w:val="00645B2B"/>
    <w:rsid w:val="00654052"/>
    <w:rsid w:val="00660B00"/>
    <w:rsid w:val="006719B0"/>
    <w:rsid w:val="00672F20"/>
    <w:rsid w:val="00680080"/>
    <w:rsid w:val="006836E9"/>
    <w:rsid w:val="006914A4"/>
    <w:rsid w:val="006A0D58"/>
    <w:rsid w:val="006C3432"/>
    <w:rsid w:val="006E5DD3"/>
    <w:rsid w:val="006E6D75"/>
    <w:rsid w:val="006F2A53"/>
    <w:rsid w:val="006F5C72"/>
    <w:rsid w:val="006F6FC5"/>
    <w:rsid w:val="006F6FC6"/>
    <w:rsid w:val="00723BD0"/>
    <w:rsid w:val="0072711B"/>
    <w:rsid w:val="00731AC2"/>
    <w:rsid w:val="00741920"/>
    <w:rsid w:val="007531CC"/>
    <w:rsid w:val="00761D18"/>
    <w:rsid w:val="00761DBC"/>
    <w:rsid w:val="00772AC2"/>
    <w:rsid w:val="00772F70"/>
    <w:rsid w:val="00780ED8"/>
    <w:rsid w:val="007810F2"/>
    <w:rsid w:val="00782626"/>
    <w:rsid w:val="00785F72"/>
    <w:rsid w:val="00787C98"/>
    <w:rsid w:val="00794D1B"/>
    <w:rsid w:val="007A6DE2"/>
    <w:rsid w:val="007A797B"/>
    <w:rsid w:val="007B1049"/>
    <w:rsid w:val="007B1510"/>
    <w:rsid w:val="007B5278"/>
    <w:rsid w:val="007B6507"/>
    <w:rsid w:val="007C32C4"/>
    <w:rsid w:val="007C47BC"/>
    <w:rsid w:val="007C6C1F"/>
    <w:rsid w:val="007D2B84"/>
    <w:rsid w:val="007D783F"/>
    <w:rsid w:val="007E65F2"/>
    <w:rsid w:val="007F12CF"/>
    <w:rsid w:val="00811891"/>
    <w:rsid w:val="00811A1F"/>
    <w:rsid w:val="0081379A"/>
    <w:rsid w:val="0081797C"/>
    <w:rsid w:val="00820EEB"/>
    <w:rsid w:val="00830531"/>
    <w:rsid w:val="0083079E"/>
    <w:rsid w:val="00831C9D"/>
    <w:rsid w:val="00857CF4"/>
    <w:rsid w:val="00864AA7"/>
    <w:rsid w:val="00876762"/>
    <w:rsid w:val="00882221"/>
    <w:rsid w:val="00882C87"/>
    <w:rsid w:val="00895FFA"/>
    <w:rsid w:val="008965A2"/>
    <w:rsid w:val="00896F5D"/>
    <w:rsid w:val="00897613"/>
    <w:rsid w:val="008A0E05"/>
    <w:rsid w:val="008A61C3"/>
    <w:rsid w:val="008B5166"/>
    <w:rsid w:val="008D1AFA"/>
    <w:rsid w:val="008D6863"/>
    <w:rsid w:val="008E1BA6"/>
    <w:rsid w:val="008E56FD"/>
    <w:rsid w:val="008E611F"/>
    <w:rsid w:val="008F0D2A"/>
    <w:rsid w:val="0090420F"/>
    <w:rsid w:val="0091281E"/>
    <w:rsid w:val="00917AB1"/>
    <w:rsid w:val="00924FC5"/>
    <w:rsid w:val="00932765"/>
    <w:rsid w:val="0093387D"/>
    <w:rsid w:val="00936F34"/>
    <w:rsid w:val="009460F3"/>
    <w:rsid w:val="009463EE"/>
    <w:rsid w:val="009574B1"/>
    <w:rsid w:val="009600E6"/>
    <w:rsid w:val="00961657"/>
    <w:rsid w:val="00966F92"/>
    <w:rsid w:val="00972797"/>
    <w:rsid w:val="009811CC"/>
    <w:rsid w:val="00983557"/>
    <w:rsid w:val="00984752"/>
    <w:rsid w:val="00990325"/>
    <w:rsid w:val="00991CC6"/>
    <w:rsid w:val="009A55C2"/>
    <w:rsid w:val="009B2130"/>
    <w:rsid w:val="009C06CD"/>
    <w:rsid w:val="009D0E88"/>
    <w:rsid w:val="009D466C"/>
    <w:rsid w:val="009F65E2"/>
    <w:rsid w:val="00A028E9"/>
    <w:rsid w:val="00A22A30"/>
    <w:rsid w:val="00A37296"/>
    <w:rsid w:val="00A46DD3"/>
    <w:rsid w:val="00A507FE"/>
    <w:rsid w:val="00A53C61"/>
    <w:rsid w:val="00A63108"/>
    <w:rsid w:val="00A75AE2"/>
    <w:rsid w:val="00A76054"/>
    <w:rsid w:val="00A812D5"/>
    <w:rsid w:val="00A94298"/>
    <w:rsid w:val="00A95250"/>
    <w:rsid w:val="00AA5B20"/>
    <w:rsid w:val="00AC6ECC"/>
    <w:rsid w:val="00AE5FEA"/>
    <w:rsid w:val="00AE6AC3"/>
    <w:rsid w:val="00AF16CF"/>
    <w:rsid w:val="00AF30AB"/>
    <w:rsid w:val="00AF3F27"/>
    <w:rsid w:val="00B01BEA"/>
    <w:rsid w:val="00B03A6F"/>
    <w:rsid w:val="00B1126D"/>
    <w:rsid w:val="00B1361A"/>
    <w:rsid w:val="00B152D8"/>
    <w:rsid w:val="00B159F3"/>
    <w:rsid w:val="00B16B11"/>
    <w:rsid w:val="00B205CE"/>
    <w:rsid w:val="00B22930"/>
    <w:rsid w:val="00B22B44"/>
    <w:rsid w:val="00B3189E"/>
    <w:rsid w:val="00B338B6"/>
    <w:rsid w:val="00B45D4E"/>
    <w:rsid w:val="00B525CB"/>
    <w:rsid w:val="00B55F61"/>
    <w:rsid w:val="00B74357"/>
    <w:rsid w:val="00B80C69"/>
    <w:rsid w:val="00B81DFC"/>
    <w:rsid w:val="00B924D9"/>
    <w:rsid w:val="00BA0E9E"/>
    <w:rsid w:val="00BA7423"/>
    <w:rsid w:val="00BB33BA"/>
    <w:rsid w:val="00BC1970"/>
    <w:rsid w:val="00BC59EA"/>
    <w:rsid w:val="00BD05A1"/>
    <w:rsid w:val="00BD1D4B"/>
    <w:rsid w:val="00BD6C80"/>
    <w:rsid w:val="00BE2FED"/>
    <w:rsid w:val="00BE3E74"/>
    <w:rsid w:val="00BF4179"/>
    <w:rsid w:val="00BF420A"/>
    <w:rsid w:val="00C11457"/>
    <w:rsid w:val="00C11C0E"/>
    <w:rsid w:val="00C13C76"/>
    <w:rsid w:val="00C16296"/>
    <w:rsid w:val="00C24074"/>
    <w:rsid w:val="00C33B0F"/>
    <w:rsid w:val="00C45BCD"/>
    <w:rsid w:val="00C523E8"/>
    <w:rsid w:val="00C54087"/>
    <w:rsid w:val="00C60D76"/>
    <w:rsid w:val="00C64C7F"/>
    <w:rsid w:val="00C976F3"/>
    <w:rsid w:val="00CB228E"/>
    <w:rsid w:val="00CB3E3F"/>
    <w:rsid w:val="00CB7D56"/>
    <w:rsid w:val="00CD0688"/>
    <w:rsid w:val="00CD0C20"/>
    <w:rsid w:val="00CD496D"/>
    <w:rsid w:val="00CF05E2"/>
    <w:rsid w:val="00CF6FCC"/>
    <w:rsid w:val="00D0531B"/>
    <w:rsid w:val="00D07409"/>
    <w:rsid w:val="00D147A4"/>
    <w:rsid w:val="00D1542E"/>
    <w:rsid w:val="00D370D5"/>
    <w:rsid w:val="00D371EA"/>
    <w:rsid w:val="00D40C11"/>
    <w:rsid w:val="00D45F6E"/>
    <w:rsid w:val="00D46F9B"/>
    <w:rsid w:val="00D5733C"/>
    <w:rsid w:val="00D6182A"/>
    <w:rsid w:val="00D61E8A"/>
    <w:rsid w:val="00D70724"/>
    <w:rsid w:val="00D76733"/>
    <w:rsid w:val="00D927DD"/>
    <w:rsid w:val="00D95E8D"/>
    <w:rsid w:val="00DA419B"/>
    <w:rsid w:val="00DB5CA8"/>
    <w:rsid w:val="00DC4703"/>
    <w:rsid w:val="00DC488B"/>
    <w:rsid w:val="00DD332C"/>
    <w:rsid w:val="00DE3CBF"/>
    <w:rsid w:val="00DE4452"/>
    <w:rsid w:val="00E02E6F"/>
    <w:rsid w:val="00E03D74"/>
    <w:rsid w:val="00E110AE"/>
    <w:rsid w:val="00E22AEB"/>
    <w:rsid w:val="00E24042"/>
    <w:rsid w:val="00E317CB"/>
    <w:rsid w:val="00E31F1C"/>
    <w:rsid w:val="00E37521"/>
    <w:rsid w:val="00E425C3"/>
    <w:rsid w:val="00E547D5"/>
    <w:rsid w:val="00E6206A"/>
    <w:rsid w:val="00E67416"/>
    <w:rsid w:val="00E74C81"/>
    <w:rsid w:val="00E76CD8"/>
    <w:rsid w:val="00E912BE"/>
    <w:rsid w:val="00E92918"/>
    <w:rsid w:val="00E938B0"/>
    <w:rsid w:val="00E95A1D"/>
    <w:rsid w:val="00EA1B99"/>
    <w:rsid w:val="00EB4ACA"/>
    <w:rsid w:val="00EB5126"/>
    <w:rsid w:val="00EB72DC"/>
    <w:rsid w:val="00EC120D"/>
    <w:rsid w:val="00EF46AF"/>
    <w:rsid w:val="00EF4E1B"/>
    <w:rsid w:val="00F00B79"/>
    <w:rsid w:val="00F0639A"/>
    <w:rsid w:val="00F072BD"/>
    <w:rsid w:val="00F120B0"/>
    <w:rsid w:val="00F13E58"/>
    <w:rsid w:val="00F162BC"/>
    <w:rsid w:val="00F16DB0"/>
    <w:rsid w:val="00F20F5A"/>
    <w:rsid w:val="00F224D5"/>
    <w:rsid w:val="00F31D6E"/>
    <w:rsid w:val="00F32447"/>
    <w:rsid w:val="00F37E9C"/>
    <w:rsid w:val="00F4066E"/>
    <w:rsid w:val="00F50F61"/>
    <w:rsid w:val="00F529C8"/>
    <w:rsid w:val="00F55134"/>
    <w:rsid w:val="00F66FC0"/>
    <w:rsid w:val="00F6732F"/>
    <w:rsid w:val="00F82603"/>
    <w:rsid w:val="00F84C24"/>
    <w:rsid w:val="00F85F30"/>
    <w:rsid w:val="00F90102"/>
    <w:rsid w:val="00F96CBD"/>
    <w:rsid w:val="00FA157D"/>
    <w:rsid w:val="00FA1EA5"/>
    <w:rsid w:val="00FA6256"/>
    <w:rsid w:val="00FA7185"/>
    <w:rsid w:val="00FB0A1C"/>
    <w:rsid w:val="00FC0B93"/>
    <w:rsid w:val="00FC129E"/>
    <w:rsid w:val="00FC1FC2"/>
    <w:rsid w:val="00FC47DC"/>
    <w:rsid w:val="00FD0F7C"/>
    <w:rsid w:val="00FD20B6"/>
    <w:rsid w:val="00FD2A0A"/>
    <w:rsid w:val="00FD5FC6"/>
    <w:rsid w:val="00FE3517"/>
    <w:rsid w:val="00FE6221"/>
    <w:rsid w:val="00FF1E48"/>
    <w:rsid w:val="00FF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2BFD"/>
  <w14:defaultImageDpi w14:val="32767"/>
  <w15:chartTrackingRefBased/>
  <w15:docId w15:val="{4BF742AF-2AB0-5942-93EA-8AA59931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B2C"/>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9EA"/>
    <w:rPr>
      <w:sz w:val="18"/>
      <w:szCs w:val="18"/>
      <w:lang w:eastAsia="en-US"/>
    </w:rPr>
  </w:style>
  <w:style w:type="character" w:customStyle="1" w:styleId="BalloonTextChar">
    <w:name w:val="Balloon Text Char"/>
    <w:basedOn w:val="DefaultParagraphFont"/>
    <w:link w:val="BalloonText"/>
    <w:uiPriority w:val="99"/>
    <w:semiHidden/>
    <w:rsid w:val="00BC59EA"/>
    <w:rPr>
      <w:rFonts w:ascii="Times New Roman" w:hAnsi="Times New Roman" w:cs="Times New Roman"/>
      <w:sz w:val="18"/>
      <w:szCs w:val="18"/>
    </w:rPr>
  </w:style>
  <w:style w:type="table" w:styleId="TableGrid">
    <w:name w:val="Table Grid"/>
    <w:basedOn w:val="TableNormal"/>
    <w:uiPriority w:val="39"/>
    <w:rsid w:val="00F3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A6645"/>
    <w:pPr>
      <w:tabs>
        <w:tab w:val="left" w:pos="380"/>
      </w:tabs>
      <w:spacing w:after="240"/>
      <w:ind w:left="384" w:hanging="384"/>
    </w:pPr>
    <w:rPr>
      <w:rFonts w:asciiTheme="minorHAnsi" w:hAnsiTheme="minorHAnsi" w:cstheme="minorBidi"/>
      <w:lang w:eastAsia="en-US"/>
    </w:rPr>
  </w:style>
  <w:style w:type="character" w:styleId="Hyperlink">
    <w:name w:val="Hyperlink"/>
    <w:basedOn w:val="DefaultParagraphFont"/>
    <w:uiPriority w:val="99"/>
    <w:unhideWhenUsed/>
    <w:rsid w:val="005509DD"/>
    <w:rPr>
      <w:color w:val="0563C1" w:themeColor="hyperlink"/>
      <w:u w:val="single"/>
    </w:rPr>
  </w:style>
  <w:style w:type="character" w:styleId="CommentReference">
    <w:name w:val="annotation reference"/>
    <w:basedOn w:val="DefaultParagraphFont"/>
    <w:uiPriority w:val="99"/>
    <w:semiHidden/>
    <w:unhideWhenUsed/>
    <w:rsid w:val="005509DD"/>
    <w:rPr>
      <w:sz w:val="16"/>
      <w:szCs w:val="16"/>
    </w:rPr>
  </w:style>
  <w:style w:type="paragraph" w:styleId="CommentText">
    <w:name w:val="annotation text"/>
    <w:basedOn w:val="Normal"/>
    <w:link w:val="CommentTextChar"/>
    <w:uiPriority w:val="99"/>
    <w:semiHidden/>
    <w:unhideWhenUsed/>
    <w:rsid w:val="005509DD"/>
    <w:rPr>
      <w:sz w:val="20"/>
      <w:szCs w:val="20"/>
      <w:lang w:val="en-US" w:eastAsia="en-US"/>
    </w:rPr>
  </w:style>
  <w:style w:type="character" w:customStyle="1" w:styleId="CommentTextChar">
    <w:name w:val="Comment Text Char"/>
    <w:basedOn w:val="DefaultParagraphFont"/>
    <w:link w:val="CommentText"/>
    <w:uiPriority w:val="99"/>
    <w:semiHidden/>
    <w:rsid w:val="005509DD"/>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F4A25"/>
    <w:rPr>
      <w:rFonts w:ascii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F4A25"/>
    <w:rPr>
      <w:rFonts w:ascii="Times New Roman" w:hAnsi="Times New Roman" w:cs="Times New Roman"/>
      <w:b/>
      <w:bCs/>
      <w:sz w:val="20"/>
      <w:szCs w:val="20"/>
      <w:lang w:val="en-US"/>
    </w:rPr>
  </w:style>
  <w:style w:type="paragraph" w:styleId="Revision">
    <w:name w:val="Revision"/>
    <w:hidden/>
    <w:uiPriority w:val="99"/>
    <w:semiHidden/>
    <w:rsid w:val="002A3884"/>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033305">
      <w:bodyDiv w:val="1"/>
      <w:marLeft w:val="0"/>
      <w:marRight w:val="0"/>
      <w:marTop w:val="0"/>
      <w:marBottom w:val="0"/>
      <w:divBdr>
        <w:top w:val="none" w:sz="0" w:space="0" w:color="auto"/>
        <w:left w:val="none" w:sz="0" w:space="0" w:color="auto"/>
        <w:bottom w:val="none" w:sz="0" w:space="0" w:color="auto"/>
        <w:right w:val="none" w:sz="0" w:space="0" w:color="auto"/>
      </w:divBdr>
    </w:div>
    <w:div w:id="1171680108">
      <w:bodyDiv w:val="1"/>
      <w:marLeft w:val="0"/>
      <w:marRight w:val="0"/>
      <w:marTop w:val="0"/>
      <w:marBottom w:val="0"/>
      <w:divBdr>
        <w:top w:val="none" w:sz="0" w:space="0" w:color="auto"/>
        <w:left w:val="none" w:sz="0" w:space="0" w:color="auto"/>
        <w:bottom w:val="none" w:sz="0" w:space="0" w:color="auto"/>
        <w:right w:val="none" w:sz="0" w:space="0" w:color="auto"/>
      </w:divBdr>
    </w:div>
    <w:div w:id="1295523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Modin</dc:creator>
  <cp:keywords/>
  <dc:description/>
  <cp:lastModifiedBy>Daniel Modin</cp:lastModifiedBy>
  <cp:revision>9</cp:revision>
  <dcterms:created xsi:type="dcterms:W3CDTF">2019-08-01T19:52:00Z</dcterms:created>
  <dcterms:modified xsi:type="dcterms:W3CDTF">2020-06-18T23:32:00Z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id="GsCdPMdQ"/&gt;&lt;style id="http://www.zotero.org/styles/vancouver-brackets-no-et-al" locale="en-US" hasBibliography="1" bibliographyStyleHasBeenSet="1"/&gt;&lt;prefs&gt;&lt;pref name="fieldType" value="Field"/&gt;&lt;p</vt:lpwstr>
  </property>
  <property fmtid="{D5CDD505-2E9C-101B-9397-08002B2CF9AE}" pid="3" name="ZOTERO_PREF_2">
    <vt:lpwstr>ref name="automaticJournalAbbreviations" value="true"/&gt;&lt;pref name="dontAskDelayCitationUpdates" value="true"/&gt;&lt;/prefs&gt;&lt;/data&gt;</vt:lpwstr>
  </property>
</Properties>
</file>