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F108B" w14:textId="5044293E" w:rsidR="000F43AE" w:rsidRPr="004841D2" w:rsidRDefault="000F43AE" w:rsidP="000F43AE">
      <w:pPr>
        <w:rPr>
          <w:bCs/>
          <w:color w:val="000000" w:themeColor="text1"/>
          <w:sz w:val="24"/>
          <w:szCs w:val="24"/>
        </w:rPr>
      </w:pPr>
      <w:r w:rsidRPr="004841D2">
        <w:rPr>
          <w:b/>
          <w:color w:val="000000" w:themeColor="text1"/>
          <w:sz w:val="24"/>
          <w:szCs w:val="24"/>
        </w:rPr>
        <w:t xml:space="preserve">Supplemental Table 3. </w:t>
      </w:r>
      <w:r w:rsidR="00B63D87" w:rsidRPr="004841D2">
        <w:rPr>
          <w:bCs/>
          <w:color w:val="000000" w:themeColor="text1"/>
          <w:sz w:val="24"/>
          <w:szCs w:val="24"/>
        </w:rPr>
        <w:t>Regression coefficients for</w:t>
      </w:r>
      <w:r w:rsidRPr="004841D2">
        <w:rPr>
          <w:bCs/>
          <w:color w:val="000000" w:themeColor="text1"/>
          <w:sz w:val="24"/>
          <w:szCs w:val="24"/>
        </w:rPr>
        <w:t xml:space="preserve"> the prediction model</w:t>
      </w:r>
      <w:r w:rsidR="000A5241" w:rsidRPr="004841D2">
        <w:rPr>
          <w:bCs/>
          <w:color w:val="000000" w:themeColor="text1"/>
          <w:sz w:val="24"/>
          <w:szCs w:val="24"/>
        </w:rPr>
        <w:t xml:space="preserve"> </w:t>
      </w:r>
      <w:r w:rsidR="00BB5893" w:rsidRPr="004841D2">
        <w:rPr>
          <w:bCs/>
          <w:color w:val="000000" w:themeColor="text1"/>
          <w:sz w:val="24"/>
          <w:szCs w:val="24"/>
        </w:rPr>
        <w:t xml:space="preserve">for likelihood of attaining an A1C </w:t>
      </w:r>
      <w:r w:rsidR="00995834" w:rsidRPr="004841D2">
        <w:rPr>
          <w:bCs/>
          <w:color w:val="000000" w:themeColor="text1"/>
          <w:sz w:val="24"/>
          <w:szCs w:val="24"/>
        </w:rPr>
        <w:t xml:space="preserve">&lt;8% during 2017 based on patient demographic, clinical, and treatment-related variables during 2015-2016 in a cohort of patients with baseline A1C </w:t>
      </w:r>
      <w:r w:rsidR="00995834" w:rsidRPr="004841D2">
        <w:rPr>
          <w:rFonts w:cstheme="minorHAnsi"/>
          <w:bCs/>
          <w:color w:val="000000" w:themeColor="text1"/>
          <w:sz w:val="24"/>
          <w:szCs w:val="24"/>
        </w:rPr>
        <w:t>≥</w:t>
      </w:r>
      <w:r w:rsidR="00995834" w:rsidRPr="004841D2">
        <w:rPr>
          <w:bCs/>
          <w:color w:val="000000" w:themeColor="text1"/>
          <w:sz w:val="24"/>
          <w:szCs w:val="24"/>
        </w:rPr>
        <w:t xml:space="preserve">8% in 2016. </w:t>
      </w:r>
      <w:r w:rsidR="00BB5893" w:rsidRPr="004841D2">
        <w:rPr>
          <w:bCs/>
          <w:color w:val="000000" w:themeColor="text1"/>
          <w:sz w:val="24"/>
          <w:szCs w:val="24"/>
        </w:rPr>
        <w:t xml:space="preserve">Results shown for total study cohort </w:t>
      </w:r>
      <w:r w:rsidR="000A5241" w:rsidRPr="004841D2">
        <w:rPr>
          <w:bCs/>
          <w:color w:val="000000" w:themeColor="text1"/>
          <w:sz w:val="24"/>
          <w:szCs w:val="24"/>
        </w:rPr>
        <w:t xml:space="preserve">and </w:t>
      </w:r>
      <w:r w:rsidR="00BB5893" w:rsidRPr="004841D2">
        <w:rPr>
          <w:bCs/>
          <w:color w:val="000000" w:themeColor="text1"/>
          <w:sz w:val="24"/>
          <w:szCs w:val="24"/>
        </w:rPr>
        <w:t xml:space="preserve">a </w:t>
      </w:r>
      <w:r w:rsidR="000A5241" w:rsidRPr="004841D2">
        <w:rPr>
          <w:bCs/>
          <w:color w:val="000000" w:themeColor="text1"/>
          <w:sz w:val="24"/>
          <w:szCs w:val="24"/>
        </w:rPr>
        <w:t xml:space="preserve">sensitivity analysis excluding </w:t>
      </w:r>
      <w:r w:rsidR="00BB5893" w:rsidRPr="004841D2">
        <w:rPr>
          <w:bCs/>
          <w:color w:val="000000" w:themeColor="text1"/>
          <w:sz w:val="24"/>
          <w:szCs w:val="24"/>
        </w:rPr>
        <w:t xml:space="preserve">1,840 </w:t>
      </w:r>
      <w:r w:rsidR="000A5241" w:rsidRPr="004841D2">
        <w:rPr>
          <w:bCs/>
          <w:color w:val="000000" w:themeColor="text1"/>
          <w:sz w:val="24"/>
          <w:szCs w:val="24"/>
        </w:rPr>
        <w:t xml:space="preserve">patients with no </w:t>
      </w:r>
      <w:r w:rsidR="00BB5893" w:rsidRPr="004841D2">
        <w:rPr>
          <w:bCs/>
          <w:color w:val="000000" w:themeColor="text1"/>
          <w:sz w:val="24"/>
          <w:szCs w:val="24"/>
        </w:rPr>
        <w:t xml:space="preserve">recorded </w:t>
      </w:r>
      <w:r w:rsidR="000A5241" w:rsidRPr="004841D2">
        <w:rPr>
          <w:bCs/>
          <w:color w:val="000000" w:themeColor="text1"/>
          <w:sz w:val="24"/>
          <w:szCs w:val="24"/>
        </w:rPr>
        <w:t>A1C during 2017</w:t>
      </w:r>
      <w:r w:rsidR="00995834" w:rsidRPr="004841D2">
        <w:rPr>
          <w:bCs/>
          <w:color w:val="000000" w:themeColor="text1"/>
          <w:sz w:val="24"/>
          <w:szCs w:val="24"/>
        </w:rPr>
        <w:t>.</w:t>
      </w:r>
      <w:r w:rsidR="00995834" w:rsidRPr="004841D2">
        <w:t xml:space="preserve"> </w:t>
      </w:r>
      <w:r w:rsidR="00995834" w:rsidRPr="004841D2">
        <w:rPr>
          <w:bCs/>
          <w:color w:val="000000" w:themeColor="text1"/>
          <w:sz w:val="24"/>
          <w:szCs w:val="24"/>
        </w:rPr>
        <w:t>Although the exact ORs were different between the two analyses, the effect of each predictor was similar.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392"/>
        <w:gridCol w:w="1156"/>
        <w:gridCol w:w="1307"/>
        <w:gridCol w:w="980"/>
        <w:gridCol w:w="1020"/>
        <w:gridCol w:w="1274"/>
        <w:gridCol w:w="1036"/>
      </w:tblGrid>
      <w:tr w:rsidR="003568FD" w:rsidRPr="004841D2" w14:paraId="5B05180D" w14:textId="77777777" w:rsidTr="00FD76A5">
        <w:trPr>
          <w:trHeight w:val="300"/>
        </w:trPr>
        <w:tc>
          <w:tcPr>
            <w:tcW w:w="3392" w:type="dxa"/>
            <w:noWrap/>
            <w:vAlign w:val="bottom"/>
          </w:tcPr>
          <w:p w14:paraId="1535C30D" w14:textId="77777777" w:rsidR="003568FD" w:rsidRPr="004841D2" w:rsidRDefault="003568FD" w:rsidP="003568FD">
            <w:pPr>
              <w:jc w:val="center"/>
            </w:pPr>
          </w:p>
        </w:tc>
        <w:tc>
          <w:tcPr>
            <w:tcW w:w="3443" w:type="dxa"/>
            <w:gridSpan w:val="3"/>
            <w:noWrap/>
            <w:vAlign w:val="bottom"/>
          </w:tcPr>
          <w:p w14:paraId="55FC699C" w14:textId="08449430" w:rsidR="003568FD" w:rsidRPr="00CA174D" w:rsidRDefault="003568FD" w:rsidP="00CA174D">
            <w:pPr>
              <w:jc w:val="center"/>
              <w:rPr>
                <w:b/>
                <w:bCs/>
              </w:rPr>
            </w:pPr>
            <w:r w:rsidRPr="004841D2">
              <w:rPr>
                <w:b/>
                <w:bCs/>
              </w:rPr>
              <w:t xml:space="preserve">All Patients </w:t>
            </w:r>
            <w:r w:rsidR="00CA174D">
              <w:rPr>
                <w:b/>
                <w:bCs/>
              </w:rPr>
              <w:t xml:space="preserve">                                </w:t>
            </w:r>
            <w:proofErr w:type="gramStart"/>
            <w:r w:rsidR="00CA174D">
              <w:rPr>
                <w:b/>
                <w:bCs/>
              </w:rPr>
              <w:t xml:space="preserve">   </w:t>
            </w:r>
            <w:r w:rsidR="000F5FC7" w:rsidRPr="004841D2">
              <w:t>(</w:t>
            </w:r>
            <w:proofErr w:type="gramEnd"/>
            <w:r w:rsidRPr="004841D2">
              <w:t>N=6</w:t>
            </w:r>
            <w:r w:rsidR="00995834" w:rsidRPr="004841D2">
              <w:t>,</w:t>
            </w:r>
            <w:r w:rsidRPr="004841D2">
              <w:t>973)</w:t>
            </w:r>
          </w:p>
        </w:tc>
        <w:tc>
          <w:tcPr>
            <w:tcW w:w="3330" w:type="dxa"/>
            <w:gridSpan w:val="3"/>
            <w:shd w:val="clear" w:color="auto" w:fill="F2F2F2" w:themeFill="background1" w:themeFillShade="F2"/>
            <w:vAlign w:val="bottom"/>
          </w:tcPr>
          <w:p w14:paraId="2B865203" w14:textId="7EAD2A73" w:rsidR="003568FD" w:rsidRPr="00CA174D" w:rsidRDefault="003568FD" w:rsidP="00CA174D">
            <w:pPr>
              <w:jc w:val="center"/>
              <w:rPr>
                <w:b/>
                <w:bCs/>
              </w:rPr>
            </w:pPr>
            <w:r w:rsidRPr="004841D2">
              <w:rPr>
                <w:b/>
                <w:bCs/>
              </w:rPr>
              <w:t>Excluding Patients with No A1C during 2017</w:t>
            </w:r>
            <w:r w:rsidR="00CA174D">
              <w:rPr>
                <w:b/>
                <w:bCs/>
              </w:rPr>
              <w:t xml:space="preserve">                             </w:t>
            </w:r>
            <w:proofErr w:type="gramStart"/>
            <w:r w:rsidR="00CA174D">
              <w:rPr>
                <w:b/>
                <w:bCs/>
              </w:rPr>
              <w:t xml:space="preserve">   </w:t>
            </w:r>
            <w:r w:rsidR="000F5FC7" w:rsidRPr="004841D2">
              <w:t>(</w:t>
            </w:r>
            <w:proofErr w:type="gramEnd"/>
            <w:r w:rsidRPr="004841D2">
              <w:t>N=5</w:t>
            </w:r>
            <w:r w:rsidR="00995834" w:rsidRPr="004841D2">
              <w:t>,</w:t>
            </w:r>
            <w:r w:rsidRPr="004841D2">
              <w:t>133)</w:t>
            </w:r>
          </w:p>
        </w:tc>
      </w:tr>
      <w:tr w:rsidR="003568FD" w:rsidRPr="004841D2" w14:paraId="6010DC31" w14:textId="3AC5B028" w:rsidTr="00FD76A5">
        <w:trPr>
          <w:trHeight w:val="300"/>
        </w:trPr>
        <w:tc>
          <w:tcPr>
            <w:tcW w:w="3392" w:type="dxa"/>
            <w:noWrap/>
            <w:vAlign w:val="bottom"/>
            <w:hideMark/>
          </w:tcPr>
          <w:p w14:paraId="586955C3" w14:textId="77777777" w:rsidR="003568FD" w:rsidRPr="004841D2" w:rsidRDefault="003568FD" w:rsidP="003568FD">
            <w:pPr>
              <w:jc w:val="center"/>
            </w:pPr>
          </w:p>
        </w:tc>
        <w:tc>
          <w:tcPr>
            <w:tcW w:w="1156" w:type="dxa"/>
            <w:noWrap/>
            <w:vAlign w:val="bottom"/>
            <w:hideMark/>
          </w:tcPr>
          <w:p w14:paraId="5C0BF8EC" w14:textId="77777777" w:rsidR="003568FD" w:rsidRPr="004841D2" w:rsidRDefault="003568FD" w:rsidP="003568FD">
            <w:pPr>
              <w:jc w:val="center"/>
            </w:pPr>
            <w:r w:rsidRPr="004841D2">
              <w:t>OR</w:t>
            </w:r>
          </w:p>
        </w:tc>
        <w:tc>
          <w:tcPr>
            <w:tcW w:w="1307" w:type="dxa"/>
            <w:noWrap/>
            <w:vAlign w:val="bottom"/>
            <w:hideMark/>
          </w:tcPr>
          <w:p w14:paraId="525962D4" w14:textId="77777777" w:rsidR="003568FD" w:rsidRPr="004841D2" w:rsidRDefault="003568FD" w:rsidP="003568FD">
            <w:pPr>
              <w:jc w:val="center"/>
            </w:pPr>
            <w:r w:rsidRPr="004841D2">
              <w:t>95% CI</w:t>
            </w:r>
          </w:p>
        </w:tc>
        <w:tc>
          <w:tcPr>
            <w:tcW w:w="980" w:type="dxa"/>
            <w:noWrap/>
            <w:vAlign w:val="bottom"/>
            <w:hideMark/>
          </w:tcPr>
          <w:p w14:paraId="4A314AD6" w14:textId="77777777" w:rsidR="003568FD" w:rsidRPr="004841D2" w:rsidRDefault="003568FD" w:rsidP="003568FD">
            <w:pPr>
              <w:jc w:val="center"/>
            </w:pPr>
            <w:r w:rsidRPr="004841D2">
              <w:t>p-value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32EFA36C" w14:textId="38FB1F83" w:rsidR="003568FD" w:rsidRPr="004841D2" w:rsidRDefault="003568FD" w:rsidP="003568FD">
            <w:pPr>
              <w:jc w:val="center"/>
            </w:pPr>
            <w:r w:rsidRPr="004841D2">
              <w:t>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291A55AD" w14:textId="14F4C64D" w:rsidR="003568FD" w:rsidRPr="004841D2" w:rsidRDefault="003568FD" w:rsidP="003568FD">
            <w:pPr>
              <w:jc w:val="center"/>
            </w:pPr>
            <w:r w:rsidRPr="004841D2">
              <w:t>95% CI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4D03B809" w14:textId="0D68260F" w:rsidR="003568FD" w:rsidRPr="004841D2" w:rsidRDefault="003568FD" w:rsidP="003568FD">
            <w:pPr>
              <w:jc w:val="center"/>
            </w:pPr>
            <w:r w:rsidRPr="004841D2">
              <w:t>p-value</w:t>
            </w:r>
          </w:p>
        </w:tc>
      </w:tr>
      <w:tr w:rsidR="003568FD" w:rsidRPr="004841D2" w14:paraId="5D8122FF" w14:textId="22B81261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01DC2596" w14:textId="77777777" w:rsidR="003568FD" w:rsidRPr="004841D2" w:rsidRDefault="003568FD" w:rsidP="003568FD">
            <w:pPr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1156" w:type="dxa"/>
            <w:noWrap/>
            <w:vAlign w:val="bottom"/>
            <w:hideMark/>
          </w:tcPr>
          <w:p w14:paraId="759AA08A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1.009</w:t>
            </w:r>
          </w:p>
        </w:tc>
        <w:tc>
          <w:tcPr>
            <w:tcW w:w="1307" w:type="dxa"/>
            <w:noWrap/>
            <w:vAlign w:val="bottom"/>
            <w:hideMark/>
          </w:tcPr>
          <w:p w14:paraId="480DBF0D" w14:textId="77777777" w:rsidR="003568FD" w:rsidRPr="004841D2" w:rsidRDefault="003568FD" w:rsidP="003568FD">
            <w:pPr>
              <w:jc w:val="center"/>
            </w:pPr>
            <w:r w:rsidRPr="004841D2">
              <w:t>1.003,1.015</w:t>
            </w:r>
          </w:p>
        </w:tc>
        <w:tc>
          <w:tcPr>
            <w:tcW w:w="980" w:type="dxa"/>
            <w:noWrap/>
            <w:vAlign w:val="bottom"/>
            <w:hideMark/>
          </w:tcPr>
          <w:p w14:paraId="52673C4C" w14:textId="77777777" w:rsidR="003568FD" w:rsidRPr="004841D2" w:rsidRDefault="003568FD" w:rsidP="003568FD">
            <w:pPr>
              <w:jc w:val="center"/>
            </w:pPr>
            <w:r w:rsidRPr="004841D2">
              <w:t>0.003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4698D6CE" w14:textId="6F88B5C2" w:rsidR="003568FD" w:rsidRPr="004841D2" w:rsidRDefault="003568FD" w:rsidP="003568FD">
            <w:pPr>
              <w:jc w:val="center"/>
            </w:pPr>
            <w:r w:rsidRPr="004841D2">
              <w:t>1.009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5973CF1A" w14:textId="6AB1C909" w:rsidR="003568FD" w:rsidRPr="004841D2" w:rsidRDefault="003568FD" w:rsidP="003568FD">
            <w:pPr>
              <w:jc w:val="center"/>
            </w:pPr>
            <w:r w:rsidRPr="004841D2">
              <w:t>1.003,1.016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0AA5D64D" w14:textId="417A5E52" w:rsidR="003568FD" w:rsidRPr="004841D2" w:rsidRDefault="003568FD" w:rsidP="003568FD">
            <w:pPr>
              <w:jc w:val="center"/>
            </w:pPr>
            <w:r w:rsidRPr="004841D2">
              <w:t>0.006</w:t>
            </w:r>
          </w:p>
        </w:tc>
      </w:tr>
      <w:tr w:rsidR="003568FD" w:rsidRPr="004841D2" w14:paraId="40234791" w14:textId="171B1141" w:rsidTr="00FD76A5">
        <w:trPr>
          <w:trHeight w:val="300"/>
        </w:trPr>
        <w:tc>
          <w:tcPr>
            <w:tcW w:w="3392" w:type="dxa"/>
            <w:noWrap/>
            <w:vAlign w:val="center"/>
          </w:tcPr>
          <w:p w14:paraId="3E288659" w14:textId="77777777" w:rsidR="003568FD" w:rsidRPr="004841D2" w:rsidRDefault="003568FD" w:rsidP="003568FD">
            <w:pPr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Race=White</w:t>
            </w:r>
          </w:p>
        </w:tc>
        <w:tc>
          <w:tcPr>
            <w:tcW w:w="1156" w:type="dxa"/>
            <w:noWrap/>
            <w:vAlign w:val="bottom"/>
          </w:tcPr>
          <w:p w14:paraId="33B6EBE2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Ref</w:t>
            </w:r>
          </w:p>
        </w:tc>
        <w:tc>
          <w:tcPr>
            <w:tcW w:w="1307" w:type="dxa"/>
            <w:noWrap/>
            <w:vAlign w:val="bottom"/>
          </w:tcPr>
          <w:p w14:paraId="0B8417FE" w14:textId="77777777" w:rsidR="003568FD" w:rsidRPr="004841D2" w:rsidRDefault="003568FD" w:rsidP="003568FD">
            <w:pPr>
              <w:jc w:val="center"/>
            </w:pPr>
          </w:p>
        </w:tc>
        <w:tc>
          <w:tcPr>
            <w:tcW w:w="980" w:type="dxa"/>
            <w:noWrap/>
            <w:vAlign w:val="bottom"/>
          </w:tcPr>
          <w:p w14:paraId="65992B69" w14:textId="77777777" w:rsidR="003568FD" w:rsidRPr="004841D2" w:rsidRDefault="003568FD" w:rsidP="003568FD">
            <w:pPr>
              <w:jc w:val="center"/>
            </w:pPr>
            <w:r w:rsidRPr="004841D2">
              <w:t>0.005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63C42EA0" w14:textId="0E8159E4" w:rsidR="003568FD" w:rsidRPr="004841D2" w:rsidRDefault="003568FD" w:rsidP="003568FD">
            <w:pPr>
              <w:jc w:val="center"/>
            </w:pPr>
            <w:r w:rsidRPr="004841D2">
              <w:t>Ref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1B4D14EA" w14:textId="70756C2F" w:rsidR="003568FD" w:rsidRPr="004841D2" w:rsidRDefault="003568FD" w:rsidP="003568FD">
            <w:pPr>
              <w:jc w:val="center"/>
            </w:pP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0471B6D2" w14:textId="13623B19" w:rsidR="003568FD" w:rsidRPr="004841D2" w:rsidRDefault="003568FD" w:rsidP="003568FD">
            <w:pPr>
              <w:jc w:val="center"/>
            </w:pPr>
            <w:r w:rsidRPr="004841D2">
              <w:t>0.010</w:t>
            </w:r>
          </w:p>
        </w:tc>
      </w:tr>
      <w:tr w:rsidR="003568FD" w:rsidRPr="004841D2" w14:paraId="3B35E319" w14:textId="197F3F5A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247D5926" w14:textId="77777777" w:rsidR="003568FD" w:rsidRPr="004841D2" w:rsidRDefault="003568FD" w:rsidP="003568FD">
            <w:pPr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Race=Black</w:t>
            </w:r>
          </w:p>
        </w:tc>
        <w:tc>
          <w:tcPr>
            <w:tcW w:w="1156" w:type="dxa"/>
            <w:noWrap/>
            <w:vAlign w:val="bottom"/>
            <w:hideMark/>
          </w:tcPr>
          <w:p w14:paraId="77D1C79D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0.797</w:t>
            </w:r>
          </w:p>
        </w:tc>
        <w:tc>
          <w:tcPr>
            <w:tcW w:w="1307" w:type="dxa"/>
            <w:noWrap/>
            <w:vAlign w:val="bottom"/>
            <w:hideMark/>
          </w:tcPr>
          <w:p w14:paraId="45E3D6CF" w14:textId="77777777" w:rsidR="003568FD" w:rsidRPr="004841D2" w:rsidRDefault="003568FD" w:rsidP="003568FD">
            <w:pPr>
              <w:jc w:val="center"/>
            </w:pPr>
            <w:r w:rsidRPr="004841D2">
              <w:t>0.693,0.916</w:t>
            </w:r>
          </w:p>
        </w:tc>
        <w:tc>
          <w:tcPr>
            <w:tcW w:w="980" w:type="dxa"/>
            <w:noWrap/>
            <w:vAlign w:val="bottom"/>
          </w:tcPr>
          <w:p w14:paraId="50B497F1" w14:textId="77777777" w:rsidR="003568FD" w:rsidRPr="004841D2" w:rsidRDefault="003568FD" w:rsidP="003568FD">
            <w:pPr>
              <w:jc w:val="center"/>
            </w:pP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6C109855" w14:textId="3A81FB8F" w:rsidR="003568FD" w:rsidRPr="004841D2" w:rsidRDefault="003568FD" w:rsidP="003568FD">
            <w:pPr>
              <w:jc w:val="center"/>
            </w:pPr>
            <w:r w:rsidRPr="004841D2">
              <w:t>0.804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599A6386" w14:textId="279C6FBF" w:rsidR="003568FD" w:rsidRPr="004841D2" w:rsidRDefault="003568FD" w:rsidP="003568FD">
            <w:pPr>
              <w:jc w:val="center"/>
            </w:pPr>
            <w:r w:rsidRPr="004841D2">
              <w:t>0.692,0.935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41AE27DA" w14:textId="1BA54A78" w:rsidR="003568FD" w:rsidRPr="004841D2" w:rsidRDefault="003568FD">
            <w:pPr>
              <w:jc w:val="center"/>
            </w:pPr>
          </w:p>
        </w:tc>
      </w:tr>
      <w:tr w:rsidR="003568FD" w:rsidRPr="004841D2" w14:paraId="29BD73B9" w14:textId="513BACF6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1D561B2A" w14:textId="77777777" w:rsidR="003568FD" w:rsidRPr="004841D2" w:rsidRDefault="003568FD" w:rsidP="003568FD">
            <w:pPr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Race=Other</w:t>
            </w:r>
          </w:p>
        </w:tc>
        <w:tc>
          <w:tcPr>
            <w:tcW w:w="1156" w:type="dxa"/>
            <w:noWrap/>
            <w:vAlign w:val="bottom"/>
            <w:hideMark/>
          </w:tcPr>
          <w:p w14:paraId="0B5CCF03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0.867</w:t>
            </w:r>
          </w:p>
        </w:tc>
        <w:tc>
          <w:tcPr>
            <w:tcW w:w="1307" w:type="dxa"/>
            <w:noWrap/>
            <w:vAlign w:val="bottom"/>
            <w:hideMark/>
          </w:tcPr>
          <w:p w14:paraId="027E54C6" w14:textId="77777777" w:rsidR="003568FD" w:rsidRPr="004841D2" w:rsidRDefault="003568FD" w:rsidP="003568FD">
            <w:pPr>
              <w:jc w:val="center"/>
            </w:pPr>
            <w:r w:rsidRPr="004841D2">
              <w:t>0.676,1.112</w:t>
            </w:r>
          </w:p>
        </w:tc>
        <w:tc>
          <w:tcPr>
            <w:tcW w:w="980" w:type="dxa"/>
            <w:noWrap/>
            <w:vAlign w:val="bottom"/>
          </w:tcPr>
          <w:p w14:paraId="4386E9A0" w14:textId="77777777" w:rsidR="003568FD" w:rsidRPr="004841D2" w:rsidRDefault="003568FD" w:rsidP="003568FD">
            <w:pPr>
              <w:jc w:val="center"/>
            </w:pP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4289A87C" w14:textId="083C11C2" w:rsidR="003568FD" w:rsidRPr="004841D2" w:rsidRDefault="003568FD" w:rsidP="003568FD">
            <w:pPr>
              <w:jc w:val="center"/>
            </w:pPr>
            <w:r w:rsidRPr="004841D2">
              <w:t>0.820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0C5AE9C0" w14:textId="0381EA7D" w:rsidR="003568FD" w:rsidRPr="004841D2" w:rsidRDefault="003568FD" w:rsidP="003568FD">
            <w:pPr>
              <w:jc w:val="center"/>
            </w:pPr>
            <w:r w:rsidRPr="004841D2">
              <w:t>0.624,1.077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7967403E" w14:textId="3C9A3DFA" w:rsidR="003568FD" w:rsidRPr="004841D2" w:rsidRDefault="003568FD" w:rsidP="003568FD">
            <w:pPr>
              <w:jc w:val="center"/>
            </w:pPr>
          </w:p>
        </w:tc>
      </w:tr>
      <w:tr w:rsidR="003568FD" w:rsidRPr="004841D2" w14:paraId="3C6B3060" w14:textId="0918736D" w:rsidTr="00FD76A5">
        <w:trPr>
          <w:trHeight w:val="300"/>
        </w:trPr>
        <w:tc>
          <w:tcPr>
            <w:tcW w:w="3392" w:type="dxa"/>
            <w:noWrap/>
            <w:vAlign w:val="center"/>
          </w:tcPr>
          <w:p w14:paraId="640D4D75" w14:textId="77777777" w:rsidR="003568FD" w:rsidRPr="004841D2" w:rsidRDefault="003568FD" w:rsidP="003568FD">
            <w:pPr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Ethnicity=Hispanic Americans</w:t>
            </w:r>
          </w:p>
        </w:tc>
        <w:tc>
          <w:tcPr>
            <w:tcW w:w="1156" w:type="dxa"/>
            <w:noWrap/>
            <w:vAlign w:val="bottom"/>
          </w:tcPr>
          <w:p w14:paraId="6D6165C1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Ref</w:t>
            </w:r>
          </w:p>
        </w:tc>
        <w:tc>
          <w:tcPr>
            <w:tcW w:w="1307" w:type="dxa"/>
            <w:noWrap/>
            <w:vAlign w:val="bottom"/>
          </w:tcPr>
          <w:p w14:paraId="4C899EAA" w14:textId="77777777" w:rsidR="003568FD" w:rsidRPr="004841D2" w:rsidRDefault="003568FD" w:rsidP="003568FD">
            <w:pPr>
              <w:jc w:val="center"/>
            </w:pPr>
          </w:p>
        </w:tc>
        <w:tc>
          <w:tcPr>
            <w:tcW w:w="980" w:type="dxa"/>
            <w:noWrap/>
            <w:vAlign w:val="bottom"/>
          </w:tcPr>
          <w:p w14:paraId="5698BBD8" w14:textId="77777777" w:rsidR="003568FD" w:rsidRPr="004841D2" w:rsidRDefault="003568FD" w:rsidP="003568FD">
            <w:pPr>
              <w:jc w:val="center"/>
            </w:pPr>
            <w:r w:rsidRPr="004841D2">
              <w:t>0.052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57CB4B79" w14:textId="6231B4CE" w:rsidR="003568FD" w:rsidRPr="004841D2" w:rsidRDefault="003568FD" w:rsidP="003568FD">
            <w:pPr>
              <w:jc w:val="center"/>
            </w:pPr>
            <w:r w:rsidRPr="004841D2">
              <w:t>Ref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495A2A8D" w14:textId="36117BE8" w:rsidR="003568FD" w:rsidRPr="004841D2" w:rsidRDefault="003568FD" w:rsidP="003568FD">
            <w:pPr>
              <w:jc w:val="center"/>
            </w:pP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0A10DB77" w14:textId="27F23374" w:rsidR="003568FD" w:rsidRPr="004841D2" w:rsidRDefault="003568FD" w:rsidP="003568FD">
            <w:pPr>
              <w:jc w:val="center"/>
            </w:pPr>
            <w:r w:rsidRPr="004841D2">
              <w:t>0.282</w:t>
            </w:r>
          </w:p>
        </w:tc>
      </w:tr>
      <w:tr w:rsidR="003568FD" w:rsidRPr="004841D2" w14:paraId="5901D09A" w14:textId="43C026EB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772BA3B8" w14:textId="77777777" w:rsidR="003568FD" w:rsidRPr="004841D2" w:rsidRDefault="003568FD" w:rsidP="003568FD">
            <w:pPr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Ethnicity=Not Hispanic or Latino</w:t>
            </w:r>
          </w:p>
        </w:tc>
        <w:tc>
          <w:tcPr>
            <w:tcW w:w="1156" w:type="dxa"/>
            <w:noWrap/>
            <w:vAlign w:val="bottom"/>
            <w:hideMark/>
          </w:tcPr>
          <w:p w14:paraId="6034C9AB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1.391</w:t>
            </w:r>
          </w:p>
        </w:tc>
        <w:tc>
          <w:tcPr>
            <w:tcW w:w="1307" w:type="dxa"/>
            <w:noWrap/>
            <w:vAlign w:val="bottom"/>
            <w:hideMark/>
          </w:tcPr>
          <w:p w14:paraId="6429A0D3" w14:textId="77777777" w:rsidR="003568FD" w:rsidRPr="004841D2" w:rsidRDefault="003568FD" w:rsidP="003568FD">
            <w:pPr>
              <w:jc w:val="center"/>
            </w:pPr>
            <w:r w:rsidRPr="004841D2">
              <w:t>1.054,1.836</w:t>
            </w:r>
          </w:p>
        </w:tc>
        <w:tc>
          <w:tcPr>
            <w:tcW w:w="980" w:type="dxa"/>
            <w:noWrap/>
            <w:vAlign w:val="bottom"/>
          </w:tcPr>
          <w:p w14:paraId="2C0BBA96" w14:textId="77777777" w:rsidR="003568FD" w:rsidRPr="004841D2" w:rsidRDefault="003568FD" w:rsidP="003568FD">
            <w:pPr>
              <w:jc w:val="center"/>
            </w:pP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0777E39F" w14:textId="11ACC335" w:rsidR="003568FD" w:rsidRPr="004841D2" w:rsidRDefault="003568FD" w:rsidP="003568FD">
            <w:pPr>
              <w:jc w:val="center"/>
            </w:pPr>
            <w:r w:rsidRPr="004841D2">
              <w:t>1.219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034ABFE6" w14:textId="2BC98878" w:rsidR="003568FD" w:rsidRPr="004841D2" w:rsidRDefault="003568FD" w:rsidP="003568FD">
            <w:pPr>
              <w:jc w:val="center"/>
            </w:pPr>
            <w:r w:rsidRPr="004841D2">
              <w:t>0.898,1.655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3DA1D22C" w14:textId="59A6F170" w:rsidR="003568FD" w:rsidRPr="004841D2" w:rsidRDefault="003568FD">
            <w:pPr>
              <w:jc w:val="center"/>
            </w:pPr>
          </w:p>
        </w:tc>
      </w:tr>
      <w:tr w:rsidR="003568FD" w:rsidRPr="004841D2" w14:paraId="4832D2D4" w14:textId="0408C2CC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35AC820E" w14:textId="77777777" w:rsidR="003568FD" w:rsidRPr="004841D2" w:rsidRDefault="003568FD" w:rsidP="003568FD">
            <w:pPr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Ethnicity=Unknown</w:t>
            </w:r>
          </w:p>
        </w:tc>
        <w:tc>
          <w:tcPr>
            <w:tcW w:w="1156" w:type="dxa"/>
            <w:noWrap/>
            <w:vAlign w:val="bottom"/>
            <w:hideMark/>
          </w:tcPr>
          <w:p w14:paraId="36063252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1.504</w:t>
            </w:r>
          </w:p>
        </w:tc>
        <w:tc>
          <w:tcPr>
            <w:tcW w:w="1307" w:type="dxa"/>
            <w:noWrap/>
            <w:vAlign w:val="bottom"/>
            <w:hideMark/>
          </w:tcPr>
          <w:p w14:paraId="26C54876" w14:textId="77777777" w:rsidR="003568FD" w:rsidRPr="004841D2" w:rsidRDefault="003568FD" w:rsidP="003568FD">
            <w:pPr>
              <w:jc w:val="center"/>
            </w:pPr>
            <w:r w:rsidRPr="004841D2">
              <w:t>1.001,2.261</w:t>
            </w:r>
          </w:p>
        </w:tc>
        <w:tc>
          <w:tcPr>
            <w:tcW w:w="980" w:type="dxa"/>
            <w:noWrap/>
            <w:vAlign w:val="bottom"/>
          </w:tcPr>
          <w:p w14:paraId="79799415" w14:textId="77777777" w:rsidR="003568FD" w:rsidRPr="004841D2" w:rsidRDefault="003568FD" w:rsidP="003568FD">
            <w:pPr>
              <w:jc w:val="center"/>
            </w:pP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22E33BE4" w14:textId="29A7131D" w:rsidR="003568FD" w:rsidRPr="004841D2" w:rsidRDefault="003568FD" w:rsidP="003568FD">
            <w:pPr>
              <w:jc w:val="center"/>
            </w:pPr>
            <w:r w:rsidRPr="004841D2">
              <w:t>1.424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40CCE003" w14:textId="099500CD" w:rsidR="003568FD" w:rsidRPr="004841D2" w:rsidRDefault="003568FD" w:rsidP="003568FD">
            <w:pPr>
              <w:jc w:val="center"/>
            </w:pPr>
            <w:r w:rsidRPr="004841D2">
              <w:t>0.905,2.241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5F25B34C" w14:textId="6821413B" w:rsidR="003568FD" w:rsidRPr="004841D2" w:rsidRDefault="003568FD">
            <w:pPr>
              <w:jc w:val="center"/>
            </w:pPr>
          </w:p>
        </w:tc>
      </w:tr>
      <w:tr w:rsidR="003568FD" w:rsidRPr="004841D2" w14:paraId="495D7ECA" w14:textId="445C4460" w:rsidTr="00FD76A5">
        <w:trPr>
          <w:trHeight w:val="300"/>
        </w:trPr>
        <w:tc>
          <w:tcPr>
            <w:tcW w:w="3392" w:type="dxa"/>
            <w:noWrap/>
            <w:vAlign w:val="center"/>
          </w:tcPr>
          <w:p w14:paraId="60CEE9C1" w14:textId="77777777" w:rsidR="003568FD" w:rsidRPr="004841D2" w:rsidRDefault="003568FD" w:rsidP="003568FD">
            <w:pPr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Insurance=Medicare</w:t>
            </w:r>
          </w:p>
        </w:tc>
        <w:tc>
          <w:tcPr>
            <w:tcW w:w="1156" w:type="dxa"/>
            <w:noWrap/>
            <w:vAlign w:val="bottom"/>
          </w:tcPr>
          <w:p w14:paraId="7CEA69AD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Ref</w:t>
            </w:r>
          </w:p>
        </w:tc>
        <w:tc>
          <w:tcPr>
            <w:tcW w:w="1307" w:type="dxa"/>
            <w:noWrap/>
            <w:vAlign w:val="bottom"/>
          </w:tcPr>
          <w:p w14:paraId="47E50683" w14:textId="77777777" w:rsidR="003568FD" w:rsidRPr="004841D2" w:rsidRDefault="003568FD" w:rsidP="003568FD">
            <w:pPr>
              <w:jc w:val="center"/>
            </w:pPr>
          </w:p>
        </w:tc>
        <w:tc>
          <w:tcPr>
            <w:tcW w:w="980" w:type="dxa"/>
            <w:noWrap/>
            <w:vAlign w:val="bottom"/>
          </w:tcPr>
          <w:p w14:paraId="3837A263" w14:textId="77777777" w:rsidR="003568FD" w:rsidRPr="004841D2" w:rsidRDefault="003568FD" w:rsidP="003568FD">
            <w:pPr>
              <w:jc w:val="center"/>
            </w:pPr>
            <w:r w:rsidRPr="004841D2">
              <w:t>&lt;0.001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1EA93CE1" w14:textId="7409AD1C" w:rsidR="003568FD" w:rsidRPr="004841D2" w:rsidRDefault="003568FD" w:rsidP="003568FD">
            <w:pPr>
              <w:jc w:val="center"/>
            </w:pPr>
            <w:r w:rsidRPr="004841D2">
              <w:t>Ref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2B1B918A" w14:textId="027D5EC4" w:rsidR="003568FD" w:rsidRPr="004841D2" w:rsidRDefault="003568FD" w:rsidP="003568FD">
            <w:pPr>
              <w:jc w:val="center"/>
            </w:pP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22B7E195" w14:textId="3242F7F8" w:rsidR="003568FD" w:rsidRPr="004841D2" w:rsidRDefault="003568FD" w:rsidP="003568FD">
            <w:pPr>
              <w:jc w:val="center"/>
            </w:pPr>
            <w:r w:rsidRPr="004841D2">
              <w:t>0.007</w:t>
            </w:r>
          </w:p>
        </w:tc>
      </w:tr>
      <w:tr w:rsidR="003568FD" w:rsidRPr="004841D2" w14:paraId="5F737C78" w14:textId="0355C848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22D5E885" w14:textId="77777777" w:rsidR="003568FD" w:rsidRPr="004841D2" w:rsidRDefault="003568FD" w:rsidP="003568FD">
            <w:pPr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Insurance=Medicaid</w:t>
            </w:r>
          </w:p>
        </w:tc>
        <w:tc>
          <w:tcPr>
            <w:tcW w:w="1156" w:type="dxa"/>
            <w:noWrap/>
            <w:vAlign w:val="bottom"/>
            <w:hideMark/>
          </w:tcPr>
          <w:p w14:paraId="034607B1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0.780</w:t>
            </w:r>
          </w:p>
        </w:tc>
        <w:tc>
          <w:tcPr>
            <w:tcW w:w="1307" w:type="dxa"/>
            <w:noWrap/>
            <w:vAlign w:val="bottom"/>
            <w:hideMark/>
          </w:tcPr>
          <w:p w14:paraId="30A1CED1" w14:textId="77777777" w:rsidR="003568FD" w:rsidRPr="004841D2" w:rsidRDefault="003568FD" w:rsidP="003568FD">
            <w:pPr>
              <w:jc w:val="center"/>
            </w:pPr>
            <w:r w:rsidRPr="004841D2">
              <w:t>0.625,0.974</w:t>
            </w:r>
          </w:p>
        </w:tc>
        <w:tc>
          <w:tcPr>
            <w:tcW w:w="980" w:type="dxa"/>
            <w:noWrap/>
            <w:vAlign w:val="bottom"/>
          </w:tcPr>
          <w:p w14:paraId="4A8806A3" w14:textId="77777777" w:rsidR="003568FD" w:rsidRPr="004841D2" w:rsidRDefault="003568FD" w:rsidP="003568FD">
            <w:pPr>
              <w:jc w:val="center"/>
            </w:pP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26C3C45F" w14:textId="4E2FB50B" w:rsidR="003568FD" w:rsidRPr="004841D2" w:rsidRDefault="003568FD" w:rsidP="003568FD">
            <w:pPr>
              <w:jc w:val="center"/>
            </w:pPr>
            <w:r w:rsidRPr="004841D2">
              <w:t>0.790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4F4A8697" w14:textId="17413992" w:rsidR="003568FD" w:rsidRPr="004841D2" w:rsidRDefault="003568FD" w:rsidP="003568FD">
            <w:pPr>
              <w:jc w:val="center"/>
            </w:pPr>
            <w:r w:rsidRPr="004841D2">
              <w:t>0.624,1.001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0CF119A6" w14:textId="5BAB222A" w:rsidR="003568FD" w:rsidRPr="004841D2" w:rsidRDefault="003568FD" w:rsidP="003568FD">
            <w:pPr>
              <w:jc w:val="center"/>
            </w:pPr>
          </w:p>
        </w:tc>
      </w:tr>
      <w:tr w:rsidR="003568FD" w:rsidRPr="004841D2" w14:paraId="22457AB5" w14:textId="18719E38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6C7AFEF4" w14:textId="77777777" w:rsidR="003568FD" w:rsidRPr="004841D2" w:rsidRDefault="003568FD" w:rsidP="003568FD">
            <w:pPr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Insurance=Private Health Insurance</w:t>
            </w:r>
          </w:p>
        </w:tc>
        <w:tc>
          <w:tcPr>
            <w:tcW w:w="1156" w:type="dxa"/>
            <w:noWrap/>
            <w:vAlign w:val="bottom"/>
            <w:hideMark/>
          </w:tcPr>
          <w:p w14:paraId="4593BE0B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1.023</w:t>
            </w:r>
          </w:p>
        </w:tc>
        <w:tc>
          <w:tcPr>
            <w:tcW w:w="1307" w:type="dxa"/>
            <w:noWrap/>
            <w:vAlign w:val="bottom"/>
            <w:hideMark/>
          </w:tcPr>
          <w:p w14:paraId="4FEE78F2" w14:textId="77777777" w:rsidR="003568FD" w:rsidRPr="004841D2" w:rsidRDefault="003568FD" w:rsidP="003568FD">
            <w:pPr>
              <w:jc w:val="center"/>
            </w:pPr>
            <w:r w:rsidRPr="004841D2">
              <w:t>0.872,1.2</w:t>
            </w:r>
          </w:p>
        </w:tc>
        <w:tc>
          <w:tcPr>
            <w:tcW w:w="980" w:type="dxa"/>
            <w:noWrap/>
            <w:vAlign w:val="bottom"/>
          </w:tcPr>
          <w:p w14:paraId="0AA2CAA9" w14:textId="77777777" w:rsidR="003568FD" w:rsidRPr="004841D2" w:rsidRDefault="003568FD" w:rsidP="003568FD">
            <w:pPr>
              <w:jc w:val="center"/>
            </w:pP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2CA9AFDA" w14:textId="3C4A4FF6" w:rsidR="003568FD" w:rsidRPr="004841D2" w:rsidRDefault="003568FD" w:rsidP="003568FD">
            <w:pPr>
              <w:jc w:val="center"/>
            </w:pPr>
            <w:r w:rsidRPr="004841D2">
              <w:t>1.065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7B502991" w14:textId="09EA5382" w:rsidR="003568FD" w:rsidRPr="004841D2" w:rsidRDefault="003568FD" w:rsidP="003568FD">
            <w:pPr>
              <w:jc w:val="center"/>
            </w:pPr>
            <w:r w:rsidRPr="004841D2">
              <w:t>0.897,1.265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59CF8490" w14:textId="791A26D1" w:rsidR="003568FD" w:rsidRPr="004841D2" w:rsidRDefault="003568FD" w:rsidP="003568FD">
            <w:pPr>
              <w:jc w:val="center"/>
            </w:pPr>
          </w:p>
        </w:tc>
      </w:tr>
      <w:tr w:rsidR="003568FD" w:rsidRPr="004841D2" w14:paraId="46460330" w14:textId="091D6753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5E8125E7" w14:textId="77777777" w:rsidR="003568FD" w:rsidRPr="004841D2" w:rsidRDefault="003568FD" w:rsidP="003568FD">
            <w:pPr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Insurance=Other</w:t>
            </w:r>
          </w:p>
        </w:tc>
        <w:tc>
          <w:tcPr>
            <w:tcW w:w="1156" w:type="dxa"/>
            <w:noWrap/>
            <w:vAlign w:val="bottom"/>
            <w:hideMark/>
          </w:tcPr>
          <w:p w14:paraId="1B97F8F2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0.701</w:t>
            </w:r>
          </w:p>
        </w:tc>
        <w:tc>
          <w:tcPr>
            <w:tcW w:w="1307" w:type="dxa"/>
            <w:noWrap/>
            <w:vAlign w:val="bottom"/>
            <w:hideMark/>
          </w:tcPr>
          <w:p w14:paraId="30361037" w14:textId="77777777" w:rsidR="003568FD" w:rsidRPr="004841D2" w:rsidRDefault="003568FD" w:rsidP="003568FD">
            <w:pPr>
              <w:jc w:val="center"/>
            </w:pPr>
            <w:r w:rsidRPr="004841D2">
              <w:t>0.56,0.878</w:t>
            </w:r>
          </w:p>
        </w:tc>
        <w:tc>
          <w:tcPr>
            <w:tcW w:w="980" w:type="dxa"/>
            <w:noWrap/>
            <w:vAlign w:val="bottom"/>
          </w:tcPr>
          <w:p w14:paraId="2518DF94" w14:textId="77777777" w:rsidR="003568FD" w:rsidRPr="004841D2" w:rsidRDefault="003568FD" w:rsidP="003568FD">
            <w:pPr>
              <w:jc w:val="center"/>
            </w:pP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2239402C" w14:textId="7D924C1C" w:rsidR="003568FD" w:rsidRPr="004841D2" w:rsidRDefault="003568FD" w:rsidP="003568FD">
            <w:pPr>
              <w:jc w:val="center"/>
            </w:pPr>
            <w:r w:rsidRPr="004841D2">
              <w:t>0.800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33C021F4" w14:textId="707EBC9D" w:rsidR="003568FD" w:rsidRPr="004841D2" w:rsidRDefault="003568FD" w:rsidP="003568FD">
            <w:pPr>
              <w:jc w:val="center"/>
            </w:pPr>
            <w:r w:rsidRPr="004841D2">
              <w:t>0.625,1.025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48119AEB" w14:textId="4D579371" w:rsidR="003568FD" w:rsidRPr="004841D2" w:rsidRDefault="003568FD" w:rsidP="003568FD">
            <w:pPr>
              <w:jc w:val="center"/>
            </w:pPr>
          </w:p>
        </w:tc>
      </w:tr>
      <w:tr w:rsidR="003568FD" w:rsidRPr="004841D2" w14:paraId="6CCBBAC3" w14:textId="6670F2F3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06F51ACA" w14:textId="61EF1281" w:rsidR="003568FD" w:rsidRPr="004841D2" w:rsidRDefault="003568FD" w:rsidP="003568FD">
            <w:pPr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A1</w:t>
            </w:r>
            <w:r w:rsidR="00B83BC8" w:rsidRPr="004841D2">
              <w:rPr>
                <w:rFonts w:ascii="Calibri" w:eastAsia="Times New Roman" w:hAnsi="Calibri" w:cs="Times New Roman"/>
                <w:color w:val="000000"/>
              </w:rPr>
              <w:t xml:space="preserve">C </w:t>
            </w:r>
            <w:r w:rsidR="000F5FC7" w:rsidRPr="004841D2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11.4% vs. 9.6</w:t>
            </w:r>
            <w:proofErr w:type="gramStart"/>
            <w:r w:rsidRPr="004841D2">
              <w:rPr>
                <w:rFonts w:ascii="Calibri" w:eastAsia="Times New Roman" w:hAnsi="Calibri" w:cs="Times New Roman"/>
                <w:color w:val="000000"/>
              </w:rPr>
              <w:t>%)</w:t>
            </w:r>
            <w:r w:rsidR="0020539A">
              <w:rPr>
                <w:rFonts w:ascii="Calibri" w:eastAsia="Times New Roman" w:hAnsi="Calibri" w:cs="Times New Roman"/>
                <w:color w:val="000000"/>
              </w:rPr>
              <w:t>*</w:t>
            </w:r>
            <w:proofErr w:type="gramEnd"/>
          </w:p>
        </w:tc>
        <w:tc>
          <w:tcPr>
            <w:tcW w:w="1156" w:type="dxa"/>
            <w:noWrap/>
            <w:vAlign w:val="bottom"/>
          </w:tcPr>
          <w:p w14:paraId="04115C67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0.645</w:t>
            </w:r>
          </w:p>
        </w:tc>
        <w:tc>
          <w:tcPr>
            <w:tcW w:w="1307" w:type="dxa"/>
            <w:noWrap/>
            <w:vAlign w:val="bottom"/>
          </w:tcPr>
          <w:p w14:paraId="2912848E" w14:textId="77777777" w:rsidR="003568FD" w:rsidRPr="004841D2" w:rsidRDefault="003568FD" w:rsidP="003568FD">
            <w:pPr>
              <w:jc w:val="center"/>
            </w:pPr>
            <w:r w:rsidRPr="004841D2">
              <w:t>0.580, 0.717</w:t>
            </w:r>
          </w:p>
        </w:tc>
        <w:tc>
          <w:tcPr>
            <w:tcW w:w="980" w:type="dxa"/>
            <w:noWrap/>
            <w:vAlign w:val="bottom"/>
            <w:hideMark/>
          </w:tcPr>
          <w:p w14:paraId="46740AB6" w14:textId="77777777" w:rsidR="003568FD" w:rsidRPr="004841D2" w:rsidRDefault="003568FD" w:rsidP="003568FD">
            <w:pPr>
              <w:jc w:val="center"/>
            </w:pPr>
            <w:r w:rsidRPr="004841D2">
              <w:t>&lt;0.001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32FCEDF4" w14:textId="4916C959" w:rsidR="003568FD" w:rsidRPr="004841D2" w:rsidRDefault="003568FD" w:rsidP="003568FD">
            <w:pPr>
              <w:jc w:val="center"/>
            </w:pPr>
            <w:r w:rsidRPr="004841D2">
              <w:t>0.636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6B088B39" w14:textId="0A372DFB" w:rsidR="003568FD" w:rsidRPr="004841D2" w:rsidRDefault="003568FD" w:rsidP="003568FD">
            <w:pPr>
              <w:jc w:val="center"/>
            </w:pPr>
            <w:r w:rsidRPr="004841D2">
              <w:t>0.549,0.737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16253C5B" w14:textId="01EBB713" w:rsidR="003568FD" w:rsidRPr="004841D2" w:rsidRDefault="003568FD" w:rsidP="003568FD">
            <w:pPr>
              <w:jc w:val="center"/>
            </w:pPr>
            <w:r w:rsidRPr="004841D2">
              <w:t>&lt;0.001</w:t>
            </w:r>
          </w:p>
        </w:tc>
      </w:tr>
      <w:tr w:rsidR="003568FD" w:rsidRPr="004841D2" w14:paraId="2233FA36" w14:textId="2D892E00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5EC8B217" w14:textId="4D4B4711" w:rsidR="003568FD" w:rsidRPr="004841D2" w:rsidRDefault="003568FD" w:rsidP="003568FD">
            <w:pPr>
              <w:rPr>
                <w:vertAlign w:val="superscript"/>
              </w:rPr>
            </w:pPr>
            <w:r w:rsidRPr="004841D2">
              <w:t xml:space="preserve">Time In Data Base </w:t>
            </w:r>
            <w:r w:rsidR="000F5FC7" w:rsidRPr="004841D2">
              <w:t>(</w:t>
            </w:r>
            <w:r w:rsidRPr="004841D2">
              <w:t xml:space="preserve">4.4 year vs. 1.7 </w:t>
            </w:r>
            <w:proofErr w:type="gramStart"/>
            <w:r w:rsidRPr="004841D2">
              <w:t>year)</w:t>
            </w:r>
            <w:r w:rsidR="0020539A">
              <w:rPr>
                <w:rFonts w:cstheme="minorHAnsi"/>
              </w:rPr>
              <w:t>†</w:t>
            </w:r>
            <w:proofErr w:type="gramEnd"/>
          </w:p>
        </w:tc>
        <w:tc>
          <w:tcPr>
            <w:tcW w:w="1156" w:type="dxa"/>
            <w:noWrap/>
            <w:vAlign w:val="bottom"/>
          </w:tcPr>
          <w:p w14:paraId="546501E2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0.807</w:t>
            </w:r>
          </w:p>
        </w:tc>
        <w:tc>
          <w:tcPr>
            <w:tcW w:w="1307" w:type="dxa"/>
            <w:noWrap/>
            <w:vAlign w:val="bottom"/>
          </w:tcPr>
          <w:p w14:paraId="420619A9" w14:textId="77777777" w:rsidR="003568FD" w:rsidRPr="004841D2" w:rsidRDefault="003568FD" w:rsidP="003568FD">
            <w:pPr>
              <w:jc w:val="center"/>
            </w:pPr>
            <w:r w:rsidRPr="004841D2">
              <w:t>0.727, 0.895</w:t>
            </w:r>
          </w:p>
        </w:tc>
        <w:tc>
          <w:tcPr>
            <w:tcW w:w="980" w:type="dxa"/>
            <w:noWrap/>
            <w:vAlign w:val="bottom"/>
          </w:tcPr>
          <w:p w14:paraId="7F134B12" w14:textId="77777777" w:rsidR="003568FD" w:rsidRPr="004841D2" w:rsidRDefault="003568FD" w:rsidP="003568FD">
            <w:pPr>
              <w:jc w:val="center"/>
            </w:pPr>
            <w:r w:rsidRPr="004841D2">
              <w:t>&lt;0.001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64CBC07B" w14:textId="4ADB12EB" w:rsidR="003568FD" w:rsidRPr="004841D2" w:rsidRDefault="003568FD" w:rsidP="003568FD">
            <w:pPr>
              <w:jc w:val="center"/>
            </w:pPr>
            <w:r w:rsidRPr="004841D2">
              <w:t>0.865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31268927" w14:textId="517191FF" w:rsidR="003568FD" w:rsidRPr="004841D2" w:rsidRDefault="003568FD" w:rsidP="003568FD">
            <w:pPr>
              <w:jc w:val="center"/>
            </w:pPr>
            <w:r w:rsidRPr="004841D2">
              <w:t>0.808,0.926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02B67FA9" w14:textId="0CFABF34" w:rsidR="003568FD" w:rsidRPr="004841D2" w:rsidRDefault="003568FD" w:rsidP="003568FD">
            <w:pPr>
              <w:jc w:val="center"/>
            </w:pPr>
            <w:r w:rsidRPr="004841D2">
              <w:t>&lt;0.001</w:t>
            </w:r>
          </w:p>
        </w:tc>
      </w:tr>
      <w:tr w:rsidR="003568FD" w:rsidRPr="004841D2" w14:paraId="2F41D255" w14:textId="2E4C18B7" w:rsidTr="00CA032E">
        <w:trPr>
          <w:trHeight w:val="300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3F12A915" w14:textId="775B34E2" w:rsidR="003568FD" w:rsidRPr="004841D2" w:rsidRDefault="003568FD" w:rsidP="003568FD">
            <w:pPr>
              <w:rPr>
                <w:vertAlign w:val="superscript"/>
              </w:rPr>
            </w:pPr>
            <w:r w:rsidRPr="004841D2">
              <w:t xml:space="preserve">Encounters </w:t>
            </w:r>
            <w:r w:rsidR="000F5FC7" w:rsidRPr="004841D2">
              <w:t>(</w:t>
            </w:r>
            <w:r w:rsidRPr="004841D2">
              <w:t xml:space="preserve">8 vs. </w:t>
            </w:r>
            <w:proofErr w:type="gramStart"/>
            <w:r w:rsidRPr="004841D2">
              <w:t>3)</w:t>
            </w:r>
            <w:r w:rsidR="0020539A">
              <w:rPr>
                <w:rFonts w:cstheme="minorHAnsi"/>
              </w:rPr>
              <w:t>‡</w:t>
            </w:r>
            <w:proofErr w:type="gramEnd"/>
          </w:p>
        </w:tc>
        <w:tc>
          <w:tcPr>
            <w:tcW w:w="1156" w:type="dxa"/>
            <w:shd w:val="clear" w:color="auto" w:fill="auto"/>
            <w:noWrap/>
            <w:vAlign w:val="bottom"/>
          </w:tcPr>
          <w:p w14:paraId="49ED5EB3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1.443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3256CB3A" w14:textId="77777777" w:rsidR="003568FD" w:rsidRPr="004841D2" w:rsidRDefault="003568FD" w:rsidP="003568FD">
            <w:pPr>
              <w:jc w:val="center"/>
            </w:pPr>
            <w:r w:rsidRPr="004841D2">
              <w:t>1.299, 1.603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6BF2D83" w14:textId="77777777" w:rsidR="003568FD" w:rsidRPr="004841D2" w:rsidRDefault="003568FD" w:rsidP="003568FD">
            <w:pPr>
              <w:jc w:val="center"/>
            </w:pPr>
            <w:r w:rsidRPr="004841D2">
              <w:t>&lt;0.001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BC24485" w14:textId="0A85E005" w:rsidR="003568FD" w:rsidRPr="004841D2" w:rsidRDefault="003568FD" w:rsidP="003568FD">
            <w:pPr>
              <w:jc w:val="center"/>
            </w:pPr>
            <w:r w:rsidRPr="004841D2">
              <w:t>1.026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67412DF" w14:textId="4CEFE726" w:rsidR="003568FD" w:rsidRPr="004841D2" w:rsidRDefault="003568FD" w:rsidP="003568FD">
            <w:pPr>
              <w:jc w:val="center"/>
            </w:pPr>
            <w:r w:rsidRPr="004841D2">
              <w:t>0.989,1.065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385CDF4D" w14:textId="2A8373A6" w:rsidR="003568FD" w:rsidRPr="004841D2" w:rsidRDefault="003568FD" w:rsidP="003568FD">
            <w:pPr>
              <w:jc w:val="center"/>
            </w:pPr>
            <w:r w:rsidRPr="004841D2">
              <w:t>0.173</w:t>
            </w:r>
          </w:p>
        </w:tc>
      </w:tr>
      <w:tr w:rsidR="003568FD" w:rsidRPr="004841D2" w14:paraId="5AE31575" w14:textId="5DEF6E01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0B2ED542" w14:textId="39603CA9" w:rsidR="003568FD" w:rsidRPr="004841D2" w:rsidRDefault="003568FD" w:rsidP="003568FD">
            <w:r w:rsidRPr="004841D2">
              <w:t>DPP</w:t>
            </w:r>
            <w:r w:rsidR="00B83BC8" w:rsidRPr="004841D2">
              <w:t>-</w:t>
            </w:r>
            <w:r w:rsidRPr="004841D2">
              <w:t>4</w:t>
            </w:r>
          </w:p>
        </w:tc>
        <w:tc>
          <w:tcPr>
            <w:tcW w:w="1156" w:type="dxa"/>
            <w:noWrap/>
            <w:vAlign w:val="bottom"/>
            <w:hideMark/>
          </w:tcPr>
          <w:p w14:paraId="1EB7F84E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1.265</w:t>
            </w:r>
          </w:p>
        </w:tc>
        <w:tc>
          <w:tcPr>
            <w:tcW w:w="1307" w:type="dxa"/>
            <w:noWrap/>
            <w:vAlign w:val="bottom"/>
            <w:hideMark/>
          </w:tcPr>
          <w:p w14:paraId="12BD8C13" w14:textId="77777777" w:rsidR="003568FD" w:rsidRPr="004841D2" w:rsidRDefault="003568FD" w:rsidP="003568FD">
            <w:pPr>
              <w:jc w:val="center"/>
            </w:pPr>
            <w:r w:rsidRPr="004841D2">
              <w:t>1.031,1.553</w:t>
            </w:r>
          </w:p>
        </w:tc>
        <w:tc>
          <w:tcPr>
            <w:tcW w:w="980" w:type="dxa"/>
            <w:noWrap/>
            <w:vAlign w:val="bottom"/>
            <w:hideMark/>
          </w:tcPr>
          <w:p w14:paraId="0CB3702D" w14:textId="77777777" w:rsidR="003568FD" w:rsidRPr="004841D2" w:rsidRDefault="003568FD" w:rsidP="003568FD">
            <w:pPr>
              <w:jc w:val="center"/>
            </w:pPr>
            <w:r w:rsidRPr="004841D2">
              <w:t>0.024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1C29A572" w14:textId="0FF86ECA" w:rsidR="003568FD" w:rsidRPr="004841D2" w:rsidRDefault="003568FD" w:rsidP="003568FD">
            <w:pPr>
              <w:jc w:val="center"/>
            </w:pPr>
            <w:r w:rsidRPr="004841D2">
              <w:t>1.313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001D66B3" w14:textId="48BEF9CC" w:rsidR="003568FD" w:rsidRPr="004841D2" w:rsidRDefault="003568FD" w:rsidP="003568FD">
            <w:pPr>
              <w:jc w:val="center"/>
            </w:pPr>
            <w:r w:rsidRPr="004841D2">
              <w:t>1.057,1.631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455BFED2" w14:textId="6181ECB6" w:rsidR="003568FD" w:rsidRPr="004841D2" w:rsidRDefault="003568FD" w:rsidP="003568FD">
            <w:pPr>
              <w:jc w:val="center"/>
            </w:pPr>
            <w:r w:rsidRPr="004841D2">
              <w:t>0.014</w:t>
            </w:r>
          </w:p>
        </w:tc>
      </w:tr>
      <w:tr w:rsidR="003568FD" w:rsidRPr="004841D2" w14:paraId="34FA19C8" w14:textId="754B8BB0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54BB22A9" w14:textId="77777777" w:rsidR="003568FD" w:rsidRPr="004841D2" w:rsidRDefault="003568FD" w:rsidP="003568FD">
            <w:r w:rsidRPr="004841D2">
              <w:t>TZD</w:t>
            </w:r>
          </w:p>
        </w:tc>
        <w:tc>
          <w:tcPr>
            <w:tcW w:w="1156" w:type="dxa"/>
            <w:noWrap/>
            <w:vAlign w:val="bottom"/>
            <w:hideMark/>
          </w:tcPr>
          <w:p w14:paraId="2A2DA296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1.427</w:t>
            </w:r>
          </w:p>
        </w:tc>
        <w:tc>
          <w:tcPr>
            <w:tcW w:w="1307" w:type="dxa"/>
            <w:noWrap/>
            <w:vAlign w:val="bottom"/>
            <w:hideMark/>
          </w:tcPr>
          <w:p w14:paraId="33C30B44" w14:textId="77777777" w:rsidR="003568FD" w:rsidRPr="004841D2" w:rsidRDefault="003568FD" w:rsidP="003568FD">
            <w:pPr>
              <w:jc w:val="center"/>
            </w:pPr>
            <w:r w:rsidRPr="004841D2">
              <w:t>1.033,1.97</w:t>
            </w:r>
          </w:p>
        </w:tc>
        <w:tc>
          <w:tcPr>
            <w:tcW w:w="980" w:type="dxa"/>
            <w:noWrap/>
            <w:vAlign w:val="bottom"/>
            <w:hideMark/>
          </w:tcPr>
          <w:p w14:paraId="5C940113" w14:textId="77777777" w:rsidR="003568FD" w:rsidRPr="004841D2" w:rsidRDefault="003568FD" w:rsidP="003568FD">
            <w:pPr>
              <w:jc w:val="center"/>
            </w:pPr>
            <w:r w:rsidRPr="004841D2">
              <w:t>0.031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5AC9283E" w14:textId="5062E7A5" w:rsidR="003568FD" w:rsidRPr="004841D2" w:rsidRDefault="003568FD" w:rsidP="003568FD">
            <w:pPr>
              <w:jc w:val="center"/>
            </w:pPr>
            <w:r w:rsidRPr="004841D2">
              <w:t>1.497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3A221D4A" w14:textId="7D5D837F" w:rsidR="003568FD" w:rsidRPr="004841D2" w:rsidRDefault="003568FD" w:rsidP="003568FD">
            <w:pPr>
              <w:jc w:val="center"/>
            </w:pPr>
            <w:r w:rsidRPr="004841D2">
              <w:t>1.068,2.099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6E3AD120" w14:textId="078AA82F" w:rsidR="003568FD" w:rsidRPr="004841D2" w:rsidRDefault="003568FD" w:rsidP="003568FD">
            <w:pPr>
              <w:jc w:val="center"/>
            </w:pPr>
            <w:r w:rsidRPr="004841D2">
              <w:t>0.019</w:t>
            </w:r>
          </w:p>
        </w:tc>
      </w:tr>
      <w:tr w:rsidR="003568FD" w:rsidRPr="004841D2" w14:paraId="515D7F42" w14:textId="6175B1EF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79BBEC5D" w14:textId="77777777" w:rsidR="003568FD" w:rsidRPr="004841D2" w:rsidRDefault="003568FD" w:rsidP="003568FD">
            <w:r w:rsidRPr="004841D2">
              <w:t>Metformin</w:t>
            </w:r>
          </w:p>
        </w:tc>
        <w:tc>
          <w:tcPr>
            <w:tcW w:w="1156" w:type="dxa"/>
            <w:noWrap/>
            <w:vAlign w:val="bottom"/>
            <w:hideMark/>
          </w:tcPr>
          <w:p w14:paraId="39679C67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1.512</w:t>
            </w:r>
          </w:p>
        </w:tc>
        <w:tc>
          <w:tcPr>
            <w:tcW w:w="1307" w:type="dxa"/>
            <w:noWrap/>
            <w:vAlign w:val="bottom"/>
            <w:hideMark/>
          </w:tcPr>
          <w:p w14:paraId="56E7F58E" w14:textId="77777777" w:rsidR="003568FD" w:rsidRPr="004841D2" w:rsidRDefault="003568FD" w:rsidP="003568FD">
            <w:pPr>
              <w:jc w:val="center"/>
            </w:pPr>
            <w:r w:rsidRPr="004841D2">
              <w:t>1.24,1.845</w:t>
            </w:r>
          </w:p>
        </w:tc>
        <w:tc>
          <w:tcPr>
            <w:tcW w:w="980" w:type="dxa"/>
            <w:noWrap/>
            <w:vAlign w:val="bottom"/>
            <w:hideMark/>
          </w:tcPr>
          <w:p w14:paraId="1BC43622" w14:textId="77777777" w:rsidR="003568FD" w:rsidRPr="004841D2" w:rsidRDefault="003568FD" w:rsidP="003568FD">
            <w:pPr>
              <w:jc w:val="center"/>
            </w:pPr>
            <w:r w:rsidRPr="004841D2">
              <w:t>&lt;0.001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621AEDBC" w14:textId="6D62CF17" w:rsidR="003568FD" w:rsidRPr="004841D2" w:rsidRDefault="003568FD" w:rsidP="003568FD">
            <w:pPr>
              <w:jc w:val="center"/>
            </w:pPr>
            <w:r w:rsidRPr="004841D2">
              <w:t>1.352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7752F0DF" w14:textId="02AF9228" w:rsidR="003568FD" w:rsidRPr="004841D2" w:rsidRDefault="003568FD" w:rsidP="003568FD">
            <w:pPr>
              <w:jc w:val="center"/>
            </w:pPr>
            <w:r w:rsidRPr="004841D2">
              <w:t>1.094,1.672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7B37FAA8" w14:textId="2486B21E" w:rsidR="003568FD" w:rsidRPr="004841D2" w:rsidRDefault="003568FD" w:rsidP="003568FD">
            <w:pPr>
              <w:jc w:val="center"/>
            </w:pPr>
            <w:r w:rsidRPr="004841D2">
              <w:t>0.005</w:t>
            </w:r>
          </w:p>
        </w:tc>
      </w:tr>
      <w:tr w:rsidR="003568FD" w:rsidRPr="004841D2" w14:paraId="6EEB1D40" w14:textId="2D980142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0AE7D6B4" w14:textId="685B89BC" w:rsidR="003568FD" w:rsidRPr="004841D2" w:rsidRDefault="003568FD" w:rsidP="003568FD">
            <w:r w:rsidRPr="004841D2">
              <w:t>SGLT</w:t>
            </w:r>
            <w:r w:rsidR="00B83BC8" w:rsidRPr="004841D2">
              <w:t>-</w:t>
            </w:r>
            <w:r w:rsidRPr="004841D2">
              <w:t>2</w:t>
            </w:r>
            <w:r w:rsidR="00163EB5">
              <w:t>i</w:t>
            </w:r>
          </w:p>
        </w:tc>
        <w:tc>
          <w:tcPr>
            <w:tcW w:w="1156" w:type="dxa"/>
            <w:noWrap/>
            <w:vAlign w:val="bottom"/>
            <w:hideMark/>
          </w:tcPr>
          <w:p w14:paraId="7B24750E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0.825</w:t>
            </w:r>
          </w:p>
        </w:tc>
        <w:tc>
          <w:tcPr>
            <w:tcW w:w="1307" w:type="dxa"/>
            <w:noWrap/>
            <w:vAlign w:val="bottom"/>
            <w:hideMark/>
          </w:tcPr>
          <w:p w14:paraId="40AB86BB" w14:textId="77777777" w:rsidR="003568FD" w:rsidRPr="004841D2" w:rsidRDefault="003568FD" w:rsidP="003568FD">
            <w:pPr>
              <w:jc w:val="center"/>
            </w:pPr>
            <w:r w:rsidRPr="004841D2">
              <w:t>0.535,1.271</w:t>
            </w:r>
          </w:p>
        </w:tc>
        <w:tc>
          <w:tcPr>
            <w:tcW w:w="980" w:type="dxa"/>
            <w:noWrap/>
            <w:vAlign w:val="bottom"/>
            <w:hideMark/>
          </w:tcPr>
          <w:p w14:paraId="0F5C9C76" w14:textId="77777777" w:rsidR="003568FD" w:rsidRPr="004841D2" w:rsidRDefault="003568FD" w:rsidP="003568FD">
            <w:pPr>
              <w:jc w:val="center"/>
            </w:pPr>
            <w:r w:rsidRPr="004841D2">
              <w:t>0.383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4CFFBC1C" w14:textId="5E6BFB78" w:rsidR="003568FD" w:rsidRPr="004841D2" w:rsidRDefault="003568FD" w:rsidP="003568FD">
            <w:pPr>
              <w:jc w:val="center"/>
            </w:pPr>
            <w:r w:rsidRPr="004841D2">
              <w:t>0.876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57427FD5" w14:textId="6F9B21E1" w:rsidR="003568FD" w:rsidRPr="004841D2" w:rsidRDefault="003568FD" w:rsidP="003568FD">
            <w:pPr>
              <w:jc w:val="center"/>
            </w:pPr>
            <w:r w:rsidRPr="004841D2">
              <w:t>0.559,1.372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3B750F21" w14:textId="2D6F952C" w:rsidR="003568FD" w:rsidRPr="004841D2" w:rsidRDefault="003568FD" w:rsidP="003568FD">
            <w:pPr>
              <w:jc w:val="center"/>
            </w:pPr>
            <w:r w:rsidRPr="004841D2">
              <w:t>0.563</w:t>
            </w:r>
          </w:p>
        </w:tc>
      </w:tr>
      <w:tr w:rsidR="003568FD" w:rsidRPr="004841D2" w14:paraId="0E1B2F10" w14:textId="14D229C7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4CCE1DE7" w14:textId="77777777" w:rsidR="003568FD" w:rsidRPr="004841D2" w:rsidRDefault="003568FD" w:rsidP="003568FD">
            <w:r w:rsidRPr="004841D2">
              <w:t>Insulin</w:t>
            </w:r>
          </w:p>
        </w:tc>
        <w:tc>
          <w:tcPr>
            <w:tcW w:w="1156" w:type="dxa"/>
            <w:noWrap/>
            <w:vAlign w:val="bottom"/>
            <w:hideMark/>
          </w:tcPr>
          <w:p w14:paraId="1A5E1849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0.683</w:t>
            </w:r>
          </w:p>
        </w:tc>
        <w:tc>
          <w:tcPr>
            <w:tcW w:w="1307" w:type="dxa"/>
            <w:noWrap/>
            <w:vAlign w:val="bottom"/>
            <w:hideMark/>
          </w:tcPr>
          <w:p w14:paraId="26D67B8B" w14:textId="77777777" w:rsidR="003568FD" w:rsidRPr="004841D2" w:rsidRDefault="003568FD" w:rsidP="003568FD">
            <w:pPr>
              <w:jc w:val="center"/>
            </w:pPr>
            <w:r w:rsidRPr="004841D2">
              <w:t>0.58,0.804</w:t>
            </w:r>
          </w:p>
        </w:tc>
        <w:tc>
          <w:tcPr>
            <w:tcW w:w="980" w:type="dxa"/>
            <w:noWrap/>
            <w:vAlign w:val="bottom"/>
            <w:hideMark/>
          </w:tcPr>
          <w:p w14:paraId="0D4E40DE" w14:textId="77777777" w:rsidR="003568FD" w:rsidRPr="004841D2" w:rsidRDefault="003568FD" w:rsidP="003568FD">
            <w:pPr>
              <w:jc w:val="center"/>
            </w:pPr>
            <w:r w:rsidRPr="004841D2">
              <w:t>&lt;0.001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7C9D93C7" w14:textId="2CBA8A22" w:rsidR="003568FD" w:rsidRPr="004841D2" w:rsidRDefault="003568FD" w:rsidP="003568FD">
            <w:pPr>
              <w:jc w:val="center"/>
            </w:pPr>
            <w:r w:rsidRPr="004841D2">
              <w:t>0.632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7F6971A7" w14:textId="0B520954" w:rsidR="003568FD" w:rsidRPr="004841D2" w:rsidRDefault="003568FD" w:rsidP="003568FD">
            <w:pPr>
              <w:jc w:val="center"/>
            </w:pPr>
            <w:r w:rsidRPr="004841D2">
              <w:t>0.532,0.751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5D996107" w14:textId="653CA039" w:rsidR="003568FD" w:rsidRPr="004841D2" w:rsidRDefault="003568FD" w:rsidP="003568FD">
            <w:pPr>
              <w:jc w:val="center"/>
            </w:pPr>
            <w:r w:rsidRPr="004841D2">
              <w:t>&lt;0.001</w:t>
            </w:r>
          </w:p>
        </w:tc>
      </w:tr>
      <w:tr w:rsidR="003568FD" w:rsidRPr="004841D2" w14:paraId="7730CAF2" w14:textId="602C2A0D" w:rsidTr="00EF42AC">
        <w:trPr>
          <w:trHeight w:val="300"/>
        </w:trPr>
        <w:tc>
          <w:tcPr>
            <w:tcW w:w="3392" w:type="dxa"/>
            <w:shd w:val="clear" w:color="auto" w:fill="auto"/>
            <w:noWrap/>
            <w:vAlign w:val="center"/>
            <w:hideMark/>
          </w:tcPr>
          <w:p w14:paraId="43E924F2" w14:textId="48EE68C2" w:rsidR="003568FD" w:rsidRPr="004841D2" w:rsidRDefault="003568FD" w:rsidP="003568FD">
            <w:r w:rsidRPr="004841D2">
              <w:t>GLP</w:t>
            </w:r>
            <w:r w:rsidR="00B83BC8" w:rsidRPr="004841D2">
              <w:t>-</w:t>
            </w:r>
            <w:r w:rsidRPr="004841D2">
              <w:t>1</w:t>
            </w:r>
            <w:r w:rsidR="00B83BC8" w:rsidRPr="004841D2">
              <w:t>RA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23B313A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1.232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13DC6BB2" w14:textId="77777777" w:rsidR="003568FD" w:rsidRPr="004841D2" w:rsidRDefault="003568FD" w:rsidP="003568FD">
            <w:pPr>
              <w:jc w:val="center"/>
            </w:pPr>
            <w:r w:rsidRPr="004841D2">
              <w:t>0.967,1.569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A1C352E" w14:textId="77777777" w:rsidR="003568FD" w:rsidRPr="004841D2" w:rsidRDefault="003568FD" w:rsidP="003568FD">
            <w:pPr>
              <w:jc w:val="center"/>
            </w:pPr>
            <w:r w:rsidRPr="004841D2">
              <w:t>0.091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FBA87A4" w14:textId="61DB9A33" w:rsidR="003568FD" w:rsidRPr="004841D2" w:rsidRDefault="003568FD" w:rsidP="003568FD">
            <w:pPr>
              <w:jc w:val="center"/>
            </w:pPr>
            <w:r w:rsidRPr="004841D2">
              <w:t>1.325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EEAFA3E" w14:textId="40B77B28" w:rsidR="003568FD" w:rsidRPr="004841D2" w:rsidRDefault="003568FD" w:rsidP="003568FD">
            <w:pPr>
              <w:jc w:val="center"/>
            </w:pPr>
            <w:r w:rsidRPr="004841D2">
              <w:t>1.029,1.706</w:t>
            </w:r>
          </w:p>
        </w:tc>
        <w:tc>
          <w:tcPr>
            <w:tcW w:w="1036" w:type="dxa"/>
            <w:shd w:val="clear" w:color="auto" w:fill="auto"/>
            <w:vAlign w:val="bottom"/>
          </w:tcPr>
          <w:p w14:paraId="19560CC4" w14:textId="59FC8532" w:rsidR="003568FD" w:rsidRPr="004841D2" w:rsidRDefault="003568FD" w:rsidP="003568FD">
            <w:pPr>
              <w:jc w:val="center"/>
            </w:pPr>
            <w:r w:rsidRPr="004841D2">
              <w:t>0.029</w:t>
            </w:r>
          </w:p>
        </w:tc>
      </w:tr>
      <w:tr w:rsidR="003568FD" w:rsidRPr="004841D2" w14:paraId="27CE9E38" w14:textId="15347F17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25E6B0AF" w14:textId="77777777" w:rsidR="003568FD" w:rsidRPr="004841D2" w:rsidRDefault="003568FD" w:rsidP="003568FD">
            <w:r w:rsidRPr="004841D2">
              <w:rPr>
                <w:rFonts w:ascii="Calibri" w:eastAsia="Times New Roman" w:hAnsi="Calibri" w:cs="Times New Roman"/>
                <w:color w:val="000000"/>
              </w:rPr>
              <w:t>Classes of Diabetes Medication</w:t>
            </w:r>
          </w:p>
        </w:tc>
        <w:tc>
          <w:tcPr>
            <w:tcW w:w="1156" w:type="dxa"/>
            <w:noWrap/>
            <w:vAlign w:val="bottom"/>
            <w:hideMark/>
          </w:tcPr>
          <w:p w14:paraId="1E14EC56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0.774</w:t>
            </w:r>
          </w:p>
        </w:tc>
        <w:tc>
          <w:tcPr>
            <w:tcW w:w="1307" w:type="dxa"/>
            <w:noWrap/>
            <w:vAlign w:val="bottom"/>
            <w:hideMark/>
          </w:tcPr>
          <w:p w14:paraId="23BB7304" w14:textId="77777777" w:rsidR="003568FD" w:rsidRPr="004841D2" w:rsidRDefault="003568FD" w:rsidP="003568FD">
            <w:pPr>
              <w:jc w:val="center"/>
            </w:pPr>
            <w:r w:rsidRPr="004841D2">
              <w:t>0.682,0.879</w:t>
            </w:r>
          </w:p>
        </w:tc>
        <w:tc>
          <w:tcPr>
            <w:tcW w:w="980" w:type="dxa"/>
            <w:noWrap/>
            <w:vAlign w:val="bottom"/>
            <w:hideMark/>
          </w:tcPr>
          <w:p w14:paraId="693816C6" w14:textId="77777777" w:rsidR="003568FD" w:rsidRPr="004841D2" w:rsidRDefault="003568FD" w:rsidP="003568FD">
            <w:pPr>
              <w:jc w:val="center"/>
            </w:pPr>
            <w:r w:rsidRPr="004841D2">
              <w:t>&lt;0.001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6EE58853" w14:textId="478EBCEF" w:rsidR="003568FD" w:rsidRPr="004841D2" w:rsidRDefault="003568FD" w:rsidP="003568FD">
            <w:pPr>
              <w:jc w:val="center"/>
            </w:pPr>
            <w:r w:rsidRPr="004841D2">
              <w:t>0.885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3365B5C2" w14:textId="49F2FAA2" w:rsidR="003568FD" w:rsidRPr="004841D2" w:rsidRDefault="003568FD" w:rsidP="003568FD">
            <w:pPr>
              <w:jc w:val="center"/>
            </w:pPr>
            <w:r w:rsidRPr="004841D2">
              <w:t>0.778,1.007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19FC5E90" w14:textId="09860294" w:rsidR="003568FD" w:rsidRPr="004841D2" w:rsidRDefault="003568FD" w:rsidP="003568FD">
            <w:pPr>
              <w:jc w:val="center"/>
            </w:pPr>
            <w:r w:rsidRPr="004841D2">
              <w:t>0.063</w:t>
            </w:r>
          </w:p>
        </w:tc>
      </w:tr>
      <w:tr w:rsidR="003568FD" w:rsidRPr="004841D2" w14:paraId="4A38E05B" w14:textId="01C47F8D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3C98A096" w14:textId="77777777" w:rsidR="003568FD" w:rsidRPr="004841D2" w:rsidRDefault="003568FD" w:rsidP="003568FD">
            <w:r w:rsidRPr="004841D2">
              <w:t>Obesity</w:t>
            </w:r>
          </w:p>
        </w:tc>
        <w:tc>
          <w:tcPr>
            <w:tcW w:w="1156" w:type="dxa"/>
            <w:noWrap/>
            <w:vAlign w:val="bottom"/>
            <w:hideMark/>
          </w:tcPr>
          <w:p w14:paraId="465576F4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0.873</w:t>
            </w:r>
          </w:p>
        </w:tc>
        <w:tc>
          <w:tcPr>
            <w:tcW w:w="1307" w:type="dxa"/>
            <w:noWrap/>
            <w:vAlign w:val="bottom"/>
            <w:hideMark/>
          </w:tcPr>
          <w:p w14:paraId="57C14E06" w14:textId="77777777" w:rsidR="003568FD" w:rsidRPr="004841D2" w:rsidRDefault="003568FD" w:rsidP="003568FD">
            <w:pPr>
              <w:jc w:val="center"/>
            </w:pPr>
            <w:r w:rsidRPr="004841D2">
              <w:t>0.776,0.984</w:t>
            </w:r>
          </w:p>
        </w:tc>
        <w:tc>
          <w:tcPr>
            <w:tcW w:w="980" w:type="dxa"/>
            <w:noWrap/>
            <w:vAlign w:val="bottom"/>
            <w:hideMark/>
          </w:tcPr>
          <w:p w14:paraId="2DDB1EC9" w14:textId="77777777" w:rsidR="003568FD" w:rsidRPr="004841D2" w:rsidRDefault="003568FD" w:rsidP="003568FD">
            <w:pPr>
              <w:jc w:val="center"/>
            </w:pPr>
            <w:r w:rsidRPr="004841D2">
              <w:t>0.026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36BAEDB6" w14:textId="751DA68D" w:rsidR="003568FD" w:rsidRPr="004841D2" w:rsidRDefault="003568FD" w:rsidP="003568FD">
            <w:pPr>
              <w:jc w:val="center"/>
            </w:pPr>
            <w:r w:rsidRPr="004841D2">
              <w:t>1.274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2E7332A0" w14:textId="0D8B77AC" w:rsidR="003568FD" w:rsidRPr="004841D2" w:rsidRDefault="003568FD" w:rsidP="003568FD">
            <w:pPr>
              <w:jc w:val="center"/>
            </w:pPr>
            <w:r w:rsidRPr="004841D2">
              <w:t>1.048,1.548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6A5DF167" w14:textId="3A7AAC1F" w:rsidR="003568FD" w:rsidRPr="004841D2" w:rsidRDefault="003568FD" w:rsidP="003568FD">
            <w:pPr>
              <w:jc w:val="center"/>
            </w:pPr>
            <w:r w:rsidRPr="004841D2">
              <w:t>0.015</w:t>
            </w:r>
          </w:p>
        </w:tc>
      </w:tr>
      <w:tr w:rsidR="003568FD" w:rsidRPr="004841D2" w14:paraId="58A38940" w14:textId="3102EA91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0303ED03" w14:textId="77777777" w:rsidR="003568FD" w:rsidRPr="004841D2" w:rsidRDefault="003568FD" w:rsidP="003568FD">
            <w:r w:rsidRPr="004841D2">
              <w:rPr>
                <w:rFonts w:ascii="Calibri" w:eastAsia="Times New Roman" w:hAnsi="Calibri" w:cs="Times New Roman"/>
                <w:color w:val="000000"/>
              </w:rPr>
              <w:t>Chronic Kidney Disease</w:t>
            </w:r>
          </w:p>
        </w:tc>
        <w:tc>
          <w:tcPr>
            <w:tcW w:w="1156" w:type="dxa"/>
            <w:noWrap/>
            <w:vAlign w:val="bottom"/>
            <w:hideMark/>
          </w:tcPr>
          <w:p w14:paraId="48A8396C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1.248</w:t>
            </w:r>
          </w:p>
        </w:tc>
        <w:tc>
          <w:tcPr>
            <w:tcW w:w="1307" w:type="dxa"/>
            <w:noWrap/>
            <w:vAlign w:val="bottom"/>
            <w:hideMark/>
          </w:tcPr>
          <w:p w14:paraId="78AFB9F4" w14:textId="77777777" w:rsidR="003568FD" w:rsidRPr="004841D2" w:rsidRDefault="003568FD" w:rsidP="003568FD">
            <w:pPr>
              <w:jc w:val="center"/>
            </w:pPr>
            <w:r w:rsidRPr="004841D2">
              <w:t>1.041,1.496</w:t>
            </w:r>
          </w:p>
        </w:tc>
        <w:tc>
          <w:tcPr>
            <w:tcW w:w="980" w:type="dxa"/>
            <w:noWrap/>
            <w:vAlign w:val="bottom"/>
            <w:hideMark/>
          </w:tcPr>
          <w:p w14:paraId="087DAEB2" w14:textId="77777777" w:rsidR="003568FD" w:rsidRPr="004841D2" w:rsidRDefault="003568FD" w:rsidP="003568FD">
            <w:pPr>
              <w:jc w:val="center"/>
            </w:pPr>
            <w:r w:rsidRPr="004841D2">
              <w:t>0.017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368F898B" w14:textId="0F29E24E" w:rsidR="003568FD" w:rsidRPr="004841D2" w:rsidRDefault="003568FD" w:rsidP="003568FD">
            <w:pPr>
              <w:jc w:val="center"/>
            </w:pPr>
            <w:r w:rsidRPr="004841D2">
              <w:t>0.652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3FCDEF16" w14:textId="54DB70EC" w:rsidR="003568FD" w:rsidRPr="004841D2" w:rsidRDefault="003568FD" w:rsidP="003568FD">
            <w:pPr>
              <w:jc w:val="center"/>
            </w:pPr>
            <w:r w:rsidRPr="004841D2">
              <w:t>0.569,0.746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57ED879A" w14:textId="0187FC7C" w:rsidR="003568FD" w:rsidRPr="004841D2" w:rsidRDefault="003568FD" w:rsidP="003568FD">
            <w:pPr>
              <w:jc w:val="center"/>
            </w:pPr>
            <w:r w:rsidRPr="004841D2">
              <w:t>&lt;0.001</w:t>
            </w:r>
          </w:p>
        </w:tc>
      </w:tr>
      <w:tr w:rsidR="003568FD" w:rsidRPr="004841D2" w14:paraId="1AD3706D" w14:textId="4E78115C" w:rsidTr="00FD76A5">
        <w:trPr>
          <w:trHeight w:val="300"/>
        </w:trPr>
        <w:tc>
          <w:tcPr>
            <w:tcW w:w="3392" w:type="dxa"/>
            <w:noWrap/>
            <w:vAlign w:val="center"/>
          </w:tcPr>
          <w:p w14:paraId="14D54AFF" w14:textId="5B73EB62" w:rsidR="003568FD" w:rsidRPr="004841D2" w:rsidRDefault="00B83BC8" w:rsidP="003568F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CCI</w:t>
            </w:r>
            <w:r w:rsidR="003568FD" w:rsidRPr="004841D2">
              <w:rPr>
                <w:rFonts w:ascii="Calibri" w:eastAsia="Times New Roman" w:hAnsi="Calibri" w:cs="Times New Roman"/>
                <w:color w:val="000000"/>
              </w:rPr>
              <w:t>=0</w:t>
            </w:r>
          </w:p>
        </w:tc>
        <w:tc>
          <w:tcPr>
            <w:tcW w:w="1156" w:type="dxa"/>
            <w:noWrap/>
            <w:vAlign w:val="bottom"/>
          </w:tcPr>
          <w:p w14:paraId="55AADDF2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Ref</w:t>
            </w:r>
          </w:p>
        </w:tc>
        <w:tc>
          <w:tcPr>
            <w:tcW w:w="1307" w:type="dxa"/>
            <w:noWrap/>
            <w:vAlign w:val="bottom"/>
          </w:tcPr>
          <w:p w14:paraId="1711676E" w14:textId="77777777" w:rsidR="003568FD" w:rsidRPr="004841D2" w:rsidRDefault="003568FD" w:rsidP="003568FD">
            <w:pPr>
              <w:jc w:val="center"/>
            </w:pPr>
          </w:p>
        </w:tc>
        <w:tc>
          <w:tcPr>
            <w:tcW w:w="980" w:type="dxa"/>
            <w:noWrap/>
            <w:vAlign w:val="bottom"/>
          </w:tcPr>
          <w:p w14:paraId="11B9AAA0" w14:textId="77777777" w:rsidR="003568FD" w:rsidRPr="004841D2" w:rsidRDefault="003568FD" w:rsidP="003568FD">
            <w:pPr>
              <w:jc w:val="center"/>
            </w:pPr>
            <w:r w:rsidRPr="004841D2">
              <w:t>0.145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7B9FC04F" w14:textId="58EDBFFE" w:rsidR="003568FD" w:rsidRPr="004841D2" w:rsidRDefault="003568FD" w:rsidP="003568FD">
            <w:pPr>
              <w:jc w:val="center"/>
            </w:pPr>
            <w:r w:rsidRPr="004841D2">
              <w:t>Ref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47C8BF44" w14:textId="3B9C70CA" w:rsidR="003568FD" w:rsidRPr="004841D2" w:rsidRDefault="003568FD" w:rsidP="003568FD">
            <w:pPr>
              <w:jc w:val="center"/>
            </w:pP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6F3EDE45" w14:textId="33EB4DCA" w:rsidR="003568FD" w:rsidRPr="004841D2" w:rsidRDefault="003568FD" w:rsidP="003568FD">
            <w:pPr>
              <w:jc w:val="center"/>
            </w:pPr>
            <w:r w:rsidRPr="004841D2">
              <w:t>0.351</w:t>
            </w:r>
          </w:p>
        </w:tc>
      </w:tr>
      <w:tr w:rsidR="003568FD" w:rsidRPr="004841D2" w14:paraId="0A20558D" w14:textId="59E1F3D4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3C8CD732" w14:textId="71ABD8FC" w:rsidR="003568FD" w:rsidRPr="004841D2" w:rsidRDefault="00B83BC8" w:rsidP="003568FD">
            <w:pPr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CCI</w:t>
            </w:r>
            <w:r w:rsidR="003568FD" w:rsidRPr="004841D2">
              <w:rPr>
                <w:rFonts w:ascii="Calibri" w:eastAsia="Times New Roman" w:hAnsi="Calibri" w:cs="Times New Roman"/>
                <w:color w:val="000000"/>
              </w:rPr>
              <w:t>=1</w:t>
            </w:r>
          </w:p>
        </w:tc>
        <w:tc>
          <w:tcPr>
            <w:tcW w:w="1156" w:type="dxa"/>
            <w:noWrap/>
            <w:vAlign w:val="bottom"/>
            <w:hideMark/>
          </w:tcPr>
          <w:p w14:paraId="02286B97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1.070</w:t>
            </w:r>
          </w:p>
        </w:tc>
        <w:tc>
          <w:tcPr>
            <w:tcW w:w="1307" w:type="dxa"/>
            <w:noWrap/>
            <w:vAlign w:val="bottom"/>
            <w:hideMark/>
          </w:tcPr>
          <w:p w14:paraId="63B42BD6" w14:textId="77777777" w:rsidR="003568FD" w:rsidRPr="004841D2" w:rsidRDefault="003568FD" w:rsidP="003568FD">
            <w:pPr>
              <w:jc w:val="center"/>
            </w:pPr>
            <w:r w:rsidRPr="004841D2">
              <w:t>0.436,2.626</w:t>
            </w:r>
          </w:p>
        </w:tc>
        <w:tc>
          <w:tcPr>
            <w:tcW w:w="980" w:type="dxa"/>
            <w:noWrap/>
            <w:vAlign w:val="bottom"/>
          </w:tcPr>
          <w:p w14:paraId="1202A27D" w14:textId="77777777" w:rsidR="003568FD" w:rsidRPr="004841D2" w:rsidRDefault="003568FD" w:rsidP="003568FD">
            <w:pPr>
              <w:jc w:val="center"/>
            </w:pP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62160575" w14:textId="65140D81" w:rsidR="003568FD" w:rsidRPr="004841D2" w:rsidRDefault="003568FD" w:rsidP="003568FD">
            <w:pPr>
              <w:jc w:val="center"/>
            </w:pPr>
            <w:r w:rsidRPr="004841D2">
              <w:t>1.416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7357BFBD" w14:textId="4D5706DF" w:rsidR="003568FD" w:rsidRPr="004841D2" w:rsidRDefault="003568FD" w:rsidP="003568FD">
            <w:pPr>
              <w:jc w:val="center"/>
            </w:pPr>
            <w:r w:rsidRPr="004841D2">
              <w:t>0.516,3.886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4C53E21C" w14:textId="7B5E7FBF" w:rsidR="003568FD" w:rsidRPr="004841D2" w:rsidRDefault="003568FD" w:rsidP="003568FD">
            <w:pPr>
              <w:jc w:val="center"/>
            </w:pPr>
          </w:p>
        </w:tc>
      </w:tr>
      <w:tr w:rsidR="003568FD" w:rsidRPr="004841D2" w14:paraId="6B924E58" w14:textId="49161AB2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157EC849" w14:textId="73FA7120" w:rsidR="003568FD" w:rsidRPr="004841D2" w:rsidRDefault="00B83BC8" w:rsidP="003568FD">
            <w:pPr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CCI</w:t>
            </w:r>
            <w:r w:rsidR="003568FD" w:rsidRPr="004841D2">
              <w:rPr>
                <w:rFonts w:ascii="Calibri" w:eastAsia="Times New Roman" w:hAnsi="Calibri" w:cs="Times New Roman"/>
                <w:color w:val="000000"/>
              </w:rPr>
              <w:t>=2</w:t>
            </w:r>
          </w:p>
        </w:tc>
        <w:tc>
          <w:tcPr>
            <w:tcW w:w="1156" w:type="dxa"/>
            <w:noWrap/>
            <w:vAlign w:val="bottom"/>
            <w:hideMark/>
          </w:tcPr>
          <w:p w14:paraId="3BD645A0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0.885</w:t>
            </w:r>
          </w:p>
        </w:tc>
        <w:tc>
          <w:tcPr>
            <w:tcW w:w="1307" w:type="dxa"/>
            <w:noWrap/>
            <w:vAlign w:val="bottom"/>
            <w:hideMark/>
          </w:tcPr>
          <w:p w14:paraId="2639F24E" w14:textId="77777777" w:rsidR="003568FD" w:rsidRPr="004841D2" w:rsidRDefault="003568FD" w:rsidP="003568FD">
            <w:pPr>
              <w:jc w:val="center"/>
            </w:pPr>
            <w:r w:rsidRPr="004841D2">
              <w:t>0.36,2.178</w:t>
            </w:r>
          </w:p>
        </w:tc>
        <w:tc>
          <w:tcPr>
            <w:tcW w:w="980" w:type="dxa"/>
            <w:noWrap/>
            <w:vAlign w:val="bottom"/>
          </w:tcPr>
          <w:p w14:paraId="18115263" w14:textId="77777777" w:rsidR="003568FD" w:rsidRPr="004841D2" w:rsidRDefault="003568FD" w:rsidP="003568FD">
            <w:pPr>
              <w:jc w:val="center"/>
            </w:pP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7D0B6AB1" w14:textId="1EAF8044" w:rsidR="003568FD" w:rsidRPr="004841D2" w:rsidRDefault="003568FD" w:rsidP="003568FD">
            <w:pPr>
              <w:jc w:val="center"/>
            </w:pPr>
            <w:r w:rsidRPr="004841D2">
              <w:t>1.229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739DF888" w14:textId="4DD86FB8" w:rsidR="003568FD" w:rsidRPr="004841D2" w:rsidRDefault="003568FD" w:rsidP="003568FD">
            <w:pPr>
              <w:jc w:val="center"/>
            </w:pPr>
            <w:r w:rsidRPr="004841D2">
              <w:t>0.446,3.382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700B064A" w14:textId="0863B185" w:rsidR="003568FD" w:rsidRPr="004841D2" w:rsidRDefault="003568FD" w:rsidP="003568FD">
            <w:pPr>
              <w:jc w:val="center"/>
            </w:pPr>
          </w:p>
        </w:tc>
      </w:tr>
      <w:tr w:rsidR="003568FD" w:rsidRPr="004841D2" w14:paraId="1C5CCB34" w14:textId="71FD26BD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66D47084" w14:textId="3BB8BE10" w:rsidR="003568FD" w:rsidRPr="004841D2" w:rsidRDefault="00B83BC8" w:rsidP="003568FD">
            <w:pPr>
              <w:rPr>
                <w:rFonts w:ascii="Calibri" w:eastAsia="Times New Roman" w:hAnsi="Calibri" w:cs="Times New Roman"/>
                <w:color w:val="000000"/>
              </w:rPr>
            </w:pPr>
            <w:r w:rsidRPr="004841D2">
              <w:rPr>
                <w:rFonts w:ascii="Calibri" w:eastAsia="Times New Roman" w:hAnsi="Calibri" w:cs="Times New Roman"/>
                <w:color w:val="000000"/>
              </w:rPr>
              <w:t>CCI</w:t>
            </w:r>
            <w:r w:rsidRPr="004841D2">
              <w:rPr>
                <w:rFonts w:ascii="Calibri" w:eastAsia="Times New Roman" w:hAnsi="Calibri" w:cs="Calibri"/>
                <w:color w:val="000000"/>
              </w:rPr>
              <w:t>≥3</w:t>
            </w:r>
          </w:p>
        </w:tc>
        <w:tc>
          <w:tcPr>
            <w:tcW w:w="1156" w:type="dxa"/>
            <w:noWrap/>
            <w:vAlign w:val="bottom"/>
            <w:hideMark/>
          </w:tcPr>
          <w:p w14:paraId="7EED5D2D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0.989</w:t>
            </w:r>
          </w:p>
        </w:tc>
        <w:tc>
          <w:tcPr>
            <w:tcW w:w="1307" w:type="dxa"/>
            <w:noWrap/>
            <w:vAlign w:val="bottom"/>
            <w:hideMark/>
          </w:tcPr>
          <w:p w14:paraId="731C96C2" w14:textId="77777777" w:rsidR="003568FD" w:rsidRPr="004841D2" w:rsidRDefault="003568FD" w:rsidP="003568FD">
            <w:pPr>
              <w:jc w:val="center"/>
            </w:pPr>
            <w:r w:rsidRPr="004841D2">
              <w:t>0.402,2.436</w:t>
            </w:r>
          </w:p>
        </w:tc>
        <w:tc>
          <w:tcPr>
            <w:tcW w:w="980" w:type="dxa"/>
            <w:noWrap/>
            <w:vAlign w:val="bottom"/>
          </w:tcPr>
          <w:p w14:paraId="2AD083CB" w14:textId="77777777" w:rsidR="003568FD" w:rsidRPr="004841D2" w:rsidRDefault="003568FD" w:rsidP="003568FD">
            <w:pPr>
              <w:jc w:val="center"/>
            </w:pP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04E92487" w14:textId="0342B678" w:rsidR="003568FD" w:rsidRPr="004841D2" w:rsidRDefault="003568FD" w:rsidP="003568FD">
            <w:pPr>
              <w:jc w:val="center"/>
            </w:pPr>
            <w:r w:rsidRPr="004841D2">
              <w:t>1.376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5657AF0C" w14:textId="315EDE28" w:rsidR="003568FD" w:rsidRPr="004841D2" w:rsidRDefault="003568FD" w:rsidP="003568FD">
            <w:pPr>
              <w:jc w:val="center"/>
            </w:pPr>
            <w:r w:rsidRPr="004841D2">
              <w:t>0.499,3.789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17C40332" w14:textId="0E54629C" w:rsidR="003568FD" w:rsidRPr="004841D2" w:rsidRDefault="003568FD" w:rsidP="003568FD">
            <w:pPr>
              <w:jc w:val="center"/>
            </w:pPr>
          </w:p>
        </w:tc>
      </w:tr>
      <w:tr w:rsidR="003568FD" w:rsidRPr="004841D2" w14:paraId="3899B194" w14:textId="55BB433E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2EEC562B" w14:textId="3ECD2666" w:rsidR="003568FD" w:rsidRPr="004841D2" w:rsidRDefault="003568FD" w:rsidP="003568FD">
            <w:r w:rsidRPr="004841D2">
              <w:t>SGLT</w:t>
            </w:r>
            <w:r w:rsidR="00B83BC8" w:rsidRPr="004841D2">
              <w:t>-</w:t>
            </w:r>
            <w:r w:rsidRPr="004841D2">
              <w:t>2</w:t>
            </w:r>
            <w:r w:rsidR="00163EB5">
              <w:t>i</w:t>
            </w:r>
            <w:r w:rsidRPr="004841D2">
              <w:t xml:space="preserve"> * Obesity</w:t>
            </w:r>
          </w:p>
        </w:tc>
        <w:tc>
          <w:tcPr>
            <w:tcW w:w="1156" w:type="dxa"/>
            <w:noWrap/>
            <w:vAlign w:val="bottom"/>
            <w:hideMark/>
          </w:tcPr>
          <w:p w14:paraId="3BB28604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1.472</w:t>
            </w:r>
          </w:p>
        </w:tc>
        <w:tc>
          <w:tcPr>
            <w:tcW w:w="1307" w:type="dxa"/>
            <w:noWrap/>
            <w:vAlign w:val="bottom"/>
            <w:hideMark/>
          </w:tcPr>
          <w:p w14:paraId="4ACC0B7D" w14:textId="77777777" w:rsidR="003568FD" w:rsidRPr="004841D2" w:rsidRDefault="003568FD" w:rsidP="003568FD">
            <w:pPr>
              <w:jc w:val="center"/>
            </w:pPr>
            <w:r w:rsidRPr="004841D2">
              <w:t>0.87,2.492</w:t>
            </w:r>
          </w:p>
        </w:tc>
        <w:tc>
          <w:tcPr>
            <w:tcW w:w="980" w:type="dxa"/>
            <w:noWrap/>
            <w:vAlign w:val="bottom"/>
            <w:hideMark/>
          </w:tcPr>
          <w:p w14:paraId="10E1918E" w14:textId="77777777" w:rsidR="003568FD" w:rsidRPr="004841D2" w:rsidRDefault="003568FD" w:rsidP="003568FD">
            <w:pPr>
              <w:jc w:val="center"/>
            </w:pPr>
            <w:r w:rsidRPr="004841D2">
              <w:t>0.150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2DCAB3FC" w14:textId="1F7D5FBB" w:rsidR="003568FD" w:rsidRPr="004841D2" w:rsidRDefault="003568FD" w:rsidP="003568FD">
            <w:pPr>
              <w:jc w:val="center"/>
            </w:pPr>
            <w:r w:rsidRPr="004841D2">
              <w:t>1.464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33E54D66" w14:textId="27CE4015" w:rsidR="003568FD" w:rsidRPr="004841D2" w:rsidRDefault="003568FD" w:rsidP="003568FD">
            <w:pPr>
              <w:jc w:val="center"/>
            </w:pPr>
            <w:r w:rsidRPr="004841D2">
              <w:t>0.848,2.526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0C0F9691" w14:textId="2E7D337B" w:rsidR="003568FD" w:rsidRPr="004841D2" w:rsidRDefault="003568FD" w:rsidP="003568FD">
            <w:pPr>
              <w:jc w:val="center"/>
            </w:pPr>
            <w:r w:rsidRPr="004841D2">
              <w:t>0.171</w:t>
            </w:r>
          </w:p>
        </w:tc>
      </w:tr>
      <w:tr w:rsidR="003568FD" w:rsidRPr="004841D2" w14:paraId="50A37CEF" w14:textId="4D0FE183" w:rsidTr="00FD76A5">
        <w:trPr>
          <w:trHeight w:val="300"/>
        </w:trPr>
        <w:tc>
          <w:tcPr>
            <w:tcW w:w="3392" w:type="dxa"/>
            <w:noWrap/>
            <w:vAlign w:val="center"/>
            <w:hideMark/>
          </w:tcPr>
          <w:p w14:paraId="7B3E4F0F" w14:textId="5F46F769" w:rsidR="003568FD" w:rsidRPr="004841D2" w:rsidRDefault="003568FD" w:rsidP="003568FD">
            <w:r w:rsidRPr="004841D2">
              <w:t>SGLT</w:t>
            </w:r>
            <w:r w:rsidR="00B83BC8" w:rsidRPr="004841D2">
              <w:t>-</w:t>
            </w:r>
            <w:r w:rsidRPr="004841D2">
              <w:t>2</w:t>
            </w:r>
            <w:r w:rsidR="00163EB5">
              <w:t>i</w:t>
            </w:r>
            <w:r w:rsidRPr="004841D2">
              <w:t xml:space="preserve"> * </w:t>
            </w:r>
            <w:r w:rsidRPr="004841D2">
              <w:rPr>
                <w:rFonts w:ascii="Calibri" w:eastAsia="Times New Roman" w:hAnsi="Calibri" w:cs="Times New Roman"/>
                <w:color w:val="000000"/>
              </w:rPr>
              <w:t>Chronic Kidney Disease</w:t>
            </w:r>
          </w:p>
        </w:tc>
        <w:tc>
          <w:tcPr>
            <w:tcW w:w="1156" w:type="dxa"/>
            <w:noWrap/>
            <w:vAlign w:val="bottom"/>
            <w:hideMark/>
          </w:tcPr>
          <w:p w14:paraId="206BD98E" w14:textId="77777777" w:rsidR="003568FD" w:rsidRPr="004841D2" w:rsidRDefault="003568FD" w:rsidP="003568FD">
            <w:pPr>
              <w:jc w:val="center"/>
              <w:rPr>
                <w:rFonts w:ascii="Calibri" w:hAnsi="Calibri"/>
                <w:color w:val="000000"/>
              </w:rPr>
            </w:pPr>
            <w:r w:rsidRPr="004841D2">
              <w:rPr>
                <w:rFonts w:ascii="Calibri" w:hAnsi="Calibri"/>
                <w:color w:val="000000"/>
              </w:rPr>
              <w:t>0.412</w:t>
            </w:r>
          </w:p>
        </w:tc>
        <w:tc>
          <w:tcPr>
            <w:tcW w:w="1307" w:type="dxa"/>
            <w:noWrap/>
            <w:vAlign w:val="bottom"/>
            <w:hideMark/>
          </w:tcPr>
          <w:p w14:paraId="6485CDA9" w14:textId="77777777" w:rsidR="003568FD" w:rsidRPr="004841D2" w:rsidRDefault="003568FD" w:rsidP="003568FD">
            <w:pPr>
              <w:jc w:val="center"/>
            </w:pPr>
            <w:r w:rsidRPr="004841D2">
              <w:t>0.138,1.234</w:t>
            </w:r>
          </w:p>
        </w:tc>
        <w:tc>
          <w:tcPr>
            <w:tcW w:w="980" w:type="dxa"/>
            <w:noWrap/>
            <w:vAlign w:val="bottom"/>
            <w:hideMark/>
          </w:tcPr>
          <w:p w14:paraId="7C2FCB9F" w14:textId="77777777" w:rsidR="003568FD" w:rsidRPr="004841D2" w:rsidRDefault="003568FD" w:rsidP="003568FD">
            <w:pPr>
              <w:jc w:val="center"/>
            </w:pPr>
            <w:r w:rsidRPr="004841D2">
              <w:t>0.113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bottom"/>
          </w:tcPr>
          <w:p w14:paraId="24B31750" w14:textId="142CC4F6" w:rsidR="003568FD" w:rsidRPr="004841D2" w:rsidRDefault="003568FD" w:rsidP="003568FD">
            <w:pPr>
              <w:jc w:val="center"/>
            </w:pPr>
            <w:r w:rsidRPr="004841D2">
              <w:t>0.388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bottom"/>
          </w:tcPr>
          <w:p w14:paraId="1C47BE06" w14:textId="148CCB97" w:rsidR="003568FD" w:rsidRPr="004841D2" w:rsidRDefault="003568FD" w:rsidP="003568FD">
            <w:pPr>
              <w:jc w:val="center"/>
            </w:pPr>
            <w:r w:rsidRPr="004841D2">
              <w:t>0.128,1.178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bottom"/>
          </w:tcPr>
          <w:p w14:paraId="754B3833" w14:textId="786B1880" w:rsidR="003568FD" w:rsidRPr="004841D2" w:rsidRDefault="003568FD" w:rsidP="003568FD">
            <w:pPr>
              <w:jc w:val="center"/>
            </w:pPr>
            <w:r w:rsidRPr="004841D2">
              <w:t>0.095</w:t>
            </w:r>
          </w:p>
        </w:tc>
      </w:tr>
    </w:tbl>
    <w:p w14:paraId="64DDA395" w14:textId="77777777" w:rsidR="00CA174D" w:rsidRDefault="0020539A" w:rsidP="00DF4785">
      <w:r>
        <w:lastRenderedPageBreak/>
        <w:t xml:space="preserve">* </w:t>
      </w:r>
      <w:r w:rsidR="00DF4785" w:rsidRPr="004841D2">
        <w:t xml:space="preserve">Restricted cubic spline with 3 knots </w:t>
      </w:r>
      <w:r w:rsidR="000F5FC7" w:rsidRPr="004841D2">
        <w:t>(</w:t>
      </w:r>
      <w:r w:rsidR="00DF4785" w:rsidRPr="004841D2">
        <w:t>10</w:t>
      </w:r>
      <w:r w:rsidR="00DF4785" w:rsidRPr="004841D2">
        <w:rPr>
          <w:vertAlign w:val="superscript"/>
        </w:rPr>
        <w:t>th</w:t>
      </w:r>
      <w:r w:rsidR="00DF4785" w:rsidRPr="004841D2">
        <w:t>, 50</w:t>
      </w:r>
      <w:r w:rsidR="00DF4785" w:rsidRPr="004841D2">
        <w:rPr>
          <w:vertAlign w:val="superscript"/>
        </w:rPr>
        <w:t>th</w:t>
      </w:r>
      <w:r w:rsidR="00DF4785" w:rsidRPr="004841D2">
        <w:t>, and 90</w:t>
      </w:r>
      <w:r w:rsidR="00DF4785" w:rsidRPr="004841D2">
        <w:rPr>
          <w:vertAlign w:val="superscript"/>
        </w:rPr>
        <w:t>th</w:t>
      </w:r>
      <w:r w:rsidR="00DF4785" w:rsidRPr="004841D2">
        <w:t>) were used. The odds ratio compared the 75</w:t>
      </w:r>
      <w:r w:rsidR="00DF4785" w:rsidRPr="004841D2">
        <w:rPr>
          <w:vertAlign w:val="superscript"/>
        </w:rPr>
        <w:t>th</w:t>
      </w:r>
      <w:r w:rsidR="00DF4785" w:rsidRPr="004841D2">
        <w:t xml:space="preserve"> </w:t>
      </w:r>
      <w:r w:rsidR="000F5FC7" w:rsidRPr="004841D2">
        <w:t>(</w:t>
      </w:r>
      <w:r w:rsidR="00DF4785" w:rsidRPr="004841D2">
        <w:t>11.4%) vs. 25</w:t>
      </w:r>
      <w:r w:rsidR="00DF4785" w:rsidRPr="004841D2">
        <w:rPr>
          <w:vertAlign w:val="superscript"/>
        </w:rPr>
        <w:t>th</w:t>
      </w:r>
      <w:r w:rsidR="00DF4785" w:rsidRPr="004841D2">
        <w:t xml:space="preserve"> </w:t>
      </w:r>
      <w:r w:rsidR="000F5FC7" w:rsidRPr="004841D2">
        <w:t>(</w:t>
      </w:r>
      <w:r w:rsidR="00DF4785" w:rsidRPr="004841D2">
        <w:t>9.6</w:t>
      </w:r>
      <w:proofErr w:type="gramStart"/>
      <w:r w:rsidR="00DF4785" w:rsidRPr="004841D2">
        <w:t>%)</w:t>
      </w:r>
      <w:r w:rsidR="00CA174D">
        <w:t xml:space="preserve">   </w:t>
      </w:r>
      <w:proofErr w:type="gramEnd"/>
      <w:r w:rsidR="00CA174D">
        <w:t xml:space="preserve">                                                                                                                                                                     </w:t>
      </w:r>
      <w:r>
        <w:rPr>
          <w:rFonts w:cstheme="minorHAnsi"/>
        </w:rPr>
        <w:t xml:space="preserve">† </w:t>
      </w:r>
      <w:r w:rsidR="00DF4785" w:rsidRPr="004841D2">
        <w:t xml:space="preserve">Restricted cubic spline with 3 knots </w:t>
      </w:r>
      <w:r w:rsidR="000F5FC7" w:rsidRPr="004841D2">
        <w:t>(</w:t>
      </w:r>
      <w:r w:rsidR="00DF4785" w:rsidRPr="004841D2">
        <w:t>10</w:t>
      </w:r>
      <w:r w:rsidR="00DF4785" w:rsidRPr="004841D2">
        <w:rPr>
          <w:vertAlign w:val="superscript"/>
        </w:rPr>
        <w:t>th</w:t>
      </w:r>
      <w:r w:rsidR="00DF4785" w:rsidRPr="004841D2">
        <w:t>, 50</w:t>
      </w:r>
      <w:r w:rsidR="00DF4785" w:rsidRPr="004841D2">
        <w:rPr>
          <w:vertAlign w:val="superscript"/>
        </w:rPr>
        <w:t>th</w:t>
      </w:r>
      <w:r w:rsidR="00DF4785" w:rsidRPr="004841D2">
        <w:t>, and 90</w:t>
      </w:r>
      <w:r w:rsidR="00DF4785" w:rsidRPr="004841D2">
        <w:rPr>
          <w:vertAlign w:val="superscript"/>
        </w:rPr>
        <w:t>th</w:t>
      </w:r>
      <w:r w:rsidR="00DF4785" w:rsidRPr="004841D2">
        <w:t>) were used. The odds ratio compared the 75</w:t>
      </w:r>
      <w:r w:rsidR="00DF4785" w:rsidRPr="004841D2">
        <w:rPr>
          <w:vertAlign w:val="superscript"/>
        </w:rPr>
        <w:t>th</w:t>
      </w:r>
      <w:r w:rsidR="00DF4785" w:rsidRPr="004841D2">
        <w:t xml:space="preserve"> </w:t>
      </w:r>
      <w:r w:rsidR="000F5FC7" w:rsidRPr="004841D2">
        <w:t>(</w:t>
      </w:r>
      <w:r w:rsidR="00DF4785" w:rsidRPr="004841D2">
        <w:t>4.4 year) vs. 25</w:t>
      </w:r>
      <w:r w:rsidR="00DF4785" w:rsidRPr="004841D2">
        <w:rPr>
          <w:vertAlign w:val="superscript"/>
        </w:rPr>
        <w:t>th</w:t>
      </w:r>
      <w:r w:rsidR="00DF4785" w:rsidRPr="004841D2">
        <w:t xml:space="preserve"> </w:t>
      </w:r>
      <w:r w:rsidR="000F5FC7" w:rsidRPr="004841D2">
        <w:t>(</w:t>
      </w:r>
      <w:r w:rsidR="00DF4785" w:rsidRPr="004841D2">
        <w:t>1.7 year)</w:t>
      </w:r>
      <w:r w:rsidR="00CA174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84F587" w14:textId="77777777" w:rsidR="00CA174D" w:rsidRDefault="0020539A" w:rsidP="00B83BC8">
      <w:r>
        <w:rPr>
          <w:rFonts w:cstheme="minorHAnsi"/>
        </w:rPr>
        <w:t>‡</w:t>
      </w:r>
      <w:r>
        <w:t xml:space="preserve"> </w:t>
      </w:r>
      <w:r w:rsidR="00DF4785" w:rsidRPr="004841D2">
        <w:t xml:space="preserve">Restricted cubic spline with 3 knots </w:t>
      </w:r>
      <w:r w:rsidR="000F5FC7" w:rsidRPr="004841D2">
        <w:t>(</w:t>
      </w:r>
      <w:r w:rsidR="00DF4785" w:rsidRPr="004841D2">
        <w:t>10</w:t>
      </w:r>
      <w:r w:rsidR="00DF4785" w:rsidRPr="004841D2">
        <w:rPr>
          <w:vertAlign w:val="superscript"/>
        </w:rPr>
        <w:t>th</w:t>
      </w:r>
      <w:r w:rsidR="00DF4785" w:rsidRPr="004841D2">
        <w:t>, 50</w:t>
      </w:r>
      <w:r w:rsidR="00DF4785" w:rsidRPr="004841D2">
        <w:rPr>
          <w:vertAlign w:val="superscript"/>
        </w:rPr>
        <w:t>th</w:t>
      </w:r>
      <w:r w:rsidR="00DF4785" w:rsidRPr="004841D2">
        <w:t>, and 90</w:t>
      </w:r>
      <w:r w:rsidR="00DF4785" w:rsidRPr="004841D2">
        <w:rPr>
          <w:vertAlign w:val="superscript"/>
        </w:rPr>
        <w:t>th</w:t>
      </w:r>
      <w:r w:rsidR="00DF4785" w:rsidRPr="004841D2">
        <w:t>) were used. The odds ratio compared the 75</w:t>
      </w:r>
      <w:r w:rsidR="00DF4785" w:rsidRPr="004841D2">
        <w:rPr>
          <w:vertAlign w:val="superscript"/>
        </w:rPr>
        <w:t>th</w:t>
      </w:r>
      <w:r w:rsidR="00DF4785" w:rsidRPr="004841D2">
        <w:t xml:space="preserve"> </w:t>
      </w:r>
      <w:r w:rsidR="000F5FC7" w:rsidRPr="004841D2">
        <w:t>(</w:t>
      </w:r>
      <w:r w:rsidR="00DF4785" w:rsidRPr="004841D2">
        <w:t>8) vs. 25</w:t>
      </w:r>
      <w:r w:rsidR="00DF4785" w:rsidRPr="004841D2">
        <w:rPr>
          <w:vertAlign w:val="superscript"/>
        </w:rPr>
        <w:t>th</w:t>
      </w:r>
      <w:r w:rsidR="00DF4785" w:rsidRPr="004841D2">
        <w:t xml:space="preserve"> </w:t>
      </w:r>
      <w:r w:rsidR="000F5FC7" w:rsidRPr="004841D2">
        <w:t>(</w:t>
      </w:r>
      <w:r w:rsidR="00DF4785" w:rsidRPr="004841D2">
        <w:t>3).</w:t>
      </w:r>
      <w:r w:rsidR="00CA174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88A2DB" w14:textId="76CC1A7D" w:rsidR="00B63D87" w:rsidRPr="00CA174D" w:rsidRDefault="00B83BC8" w:rsidP="00CA174D">
      <w:r w:rsidRPr="004841D2">
        <w:rPr>
          <w:color w:val="000000" w:themeColor="text1"/>
          <w:szCs w:val="24"/>
        </w:rPr>
        <w:t>CCI, Charlson Comorbidity Index; CI, confidence interval; DPP-4, dipeptidyl peptidase-4 inhibitor;</w:t>
      </w:r>
      <w:r w:rsidRPr="004841D2">
        <w:t xml:space="preserve"> </w:t>
      </w:r>
      <w:r w:rsidRPr="004841D2">
        <w:rPr>
          <w:color w:val="000000" w:themeColor="text1"/>
          <w:szCs w:val="24"/>
        </w:rPr>
        <w:t>GLP-1RA, glucagon-like peptide-1 receptor agonist; SGLT-2</w:t>
      </w:r>
      <w:r w:rsidR="00163EB5">
        <w:rPr>
          <w:color w:val="000000" w:themeColor="text1"/>
          <w:szCs w:val="24"/>
        </w:rPr>
        <w:t>i</w:t>
      </w:r>
      <w:r w:rsidRPr="004841D2">
        <w:rPr>
          <w:color w:val="000000" w:themeColor="text1"/>
          <w:szCs w:val="24"/>
        </w:rPr>
        <w:t>,</w:t>
      </w:r>
      <w:r w:rsidRPr="004841D2">
        <w:t xml:space="preserve"> </w:t>
      </w:r>
      <w:r w:rsidRPr="004841D2">
        <w:rPr>
          <w:color w:val="000000" w:themeColor="text1"/>
          <w:szCs w:val="24"/>
        </w:rPr>
        <w:t>sodium glucose co-transporter-2 inhibitor;</w:t>
      </w:r>
      <w:r w:rsidRPr="004841D2">
        <w:t xml:space="preserve"> SD, standard deviation; </w:t>
      </w:r>
      <w:r w:rsidRPr="004841D2">
        <w:rPr>
          <w:color w:val="000000" w:themeColor="text1"/>
          <w:szCs w:val="24"/>
        </w:rPr>
        <w:t>TZD, thiazolidinedione</w:t>
      </w:r>
      <w:bookmarkStart w:id="0" w:name="_GoBack"/>
      <w:bookmarkEnd w:id="0"/>
    </w:p>
    <w:sectPr w:rsidR="00B63D87" w:rsidRPr="00CA174D" w:rsidSect="000F43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FC5C6" w14:textId="77777777" w:rsidR="008A2FC8" w:rsidRDefault="008A2FC8" w:rsidP="00D42FD1">
      <w:pPr>
        <w:spacing w:after="0" w:line="240" w:lineRule="auto"/>
      </w:pPr>
      <w:r>
        <w:separator/>
      </w:r>
    </w:p>
  </w:endnote>
  <w:endnote w:type="continuationSeparator" w:id="0">
    <w:p w14:paraId="4DBD2E21" w14:textId="77777777" w:rsidR="008A2FC8" w:rsidRDefault="008A2FC8" w:rsidP="00D4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5491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612F9" w14:textId="149448B0" w:rsidR="0020539A" w:rsidRDefault="002053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32D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04963466" w14:textId="77777777" w:rsidR="0020539A" w:rsidRDefault="00205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C9259" w14:textId="77777777" w:rsidR="008A2FC8" w:rsidRDefault="008A2FC8" w:rsidP="00D42FD1">
      <w:pPr>
        <w:spacing w:after="0" w:line="240" w:lineRule="auto"/>
      </w:pPr>
      <w:r>
        <w:separator/>
      </w:r>
    </w:p>
  </w:footnote>
  <w:footnote w:type="continuationSeparator" w:id="0">
    <w:p w14:paraId="06BA0CCA" w14:textId="77777777" w:rsidR="008A2FC8" w:rsidRDefault="008A2FC8" w:rsidP="00D4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2BD2"/>
    <w:multiLevelType w:val="hybridMultilevel"/>
    <w:tmpl w:val="C40E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04DA8"/>
    <w:multiLevelType w:val="hybridMultilevel"/>
    <w:tmpl w:val="E932C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06967"/>
    <w:multiLevelType w:val="hybridMultilevel"/>
    <w:tmpl w:val="B86E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NzazNDExNzc1MTBQ0lEKTi0uzszPAykwqwUA4m/tZSwAAAA="/>
  </w:docVars>
  <w:rsids>
    <w:rsidRoot w:val="00D42FD1"/>
    <w:rsid w:val="00001BB1"/>
    <w:rsid w:val="00003191"/>
    <w:rsid w:val="00006CE5"/>
    <w:rsid w:val="0000725E"/>
    <w:rsid w:val="00007721"/>
    <w:rsid w:val="00007FFB"/>
    <w:rsid w:val="00013796"/>
    <w:rsid w:val="0001404F"/>
    <w:rsid w:val="00014BF3"/>
    <w:rsid w:val="00017A1E"/>
    <w:rsid w:val="0002005A"/>
    <w:rsid w:val="00027250"/>
    <w:rsid w:val="00040C6D"/>
    <w:rsid w:val="000411A2"/>
    <w:rsid w:val="000420FB"/>
    <w:rsid w:val="00043A62"/>
    <w:rsid w:val="0004469F"/>
    <w:rsid w:val="00044873"/>
    <w:rsid w:val="0004542D"/>
    <w:rsid w:val="00045C3F"/>
    <w:rsid w:val="000511A9"/>
    <w:rsid w:val="00051269"/>
    <w:rsid w:val="000543D3"/>
    <w:rsid w:val="000553AC"/>
    <w:rsid w:val="00055C69"/>
    <w:rsid w:val="000619DC"/>
    <w:rsid w:val="00062C09"/>
    <w:rsid w:val="00066021"/>
    <w:rsid w:val="00066AE0"/>
    <w:rsid w:val="000709B8"/>
    <w:rsid w:val="00070D5B"/>
    <w:rsid w:val="000712B0"/>
    <w:rsid w:val="00071B39"/>
    <w:rsid w:val="00073511"/>
    <w:rsid w:val="000741FE"/>
    <w:rsid w:val="00074C74"/>
    <w:rsid w:val="0007587A"/>
    <w:rsid w:val="00076630"/>
    <w:rsid w:val="000766B3"/>
    <w:rsid w:val="000800CF"/>
    <w:rsid w:val="00082FF5"/>
    <w:rsid w:val="00083411"/>
    <w:rsid w:val="0008371E"/>
    <w:rsid w:val="000901A5"/>
    <w:rsid w:val="000902BC"/>
    <w:rsid w:val="000923CB"/>
    <w:rsid w:val="00094AF4"/>
    <w:rsid w:val="00097628"/>
    <w:rsid w:val="000A23FA"/>
    <w:rsid w:val="000A5241"/>
    <w:rsid w:val="000A70E1"/>
    <w:rsid w:val="000A7CC8"/>
    <w:rsid w:val="000A7F01"/>
    <w:rsid w:val="000B419F"/>
    <w:rsid w:val="000B43D1"/>
    <w:rsid w:val="000B4C34"/>
    <w:rsid w:val="000B4CAA"/>
    <w:rsid w:val="000B4EE4"/>
    <w:rsid w:val="000B5C85"/>
    <w:rsid w:val="000C38B5"/>
    <w:rsid w:val="000C49C9"/>
    <w:rsid w:val="000C6342"/>
    <w:rsid w:val="000C7238"/>
    <w:rsid w:val="000D0249"/>
    <w:rsid w:val="000D1903"/>
    <w:rsid w:val="000D1E54"/>
    <w:rsid w:val="000D4D3E"/>
    <w:rsid w:val="000D720E"/>
    <w:rsid w:val="000D7C75"/>
    <w:rsid w:val="000D7DCD"/>
    <w:rsid w:val="000E0DF5"/>
    <w:rsid w:val="000E4411"/>
    <w:rsid w:val="000F0DEB"/>
    <w:rsid w:val="000F3B0A"/>
    <w:rsid w:val="000F43AE"/>
    <w:rsid w:val="000F5FC7"/>
    <w:rsid w:val="001013F0"/>
    <w:rsid w:val="001127AB"/>
    <w:rsid w:val="0011286A"/>
    <w:rsid w:val="001138A8"/>
    <w:rsid w:val="00113BE6"/>
    <w:rsid w:val="001161D1"/>
    <w:rsid w:val="00117A24"/>
    <w:rsid w:val="00120A2A"/>
    <w:rsid w:val="00120FFD"/>
    <w:rsid w:val="00125375"/>
    <w:rsid w:val="00132173"/>
    <w:rsid w:val="00132C80"/>
    <w:rsid w:val="00134FFA"/>
    <w:rsid w:val="00137CA5"/>
    <w:rsid w:val="0014261C"/>
    <w:rsid w:val="00142FE2"/>
    <w:rsid w:val="001439CE"/>
    <w:rsid w:val="001457E5"/>
    <w:rsid w:val="00147A01"/>
    <w:rsid w:val="001510F5"/>
    <w:rsid w:val="0015225E"/>
    <w:rsid w:val="00153E4B"/>
    <w:rsid w:val="00157869"/>
    <w:rsid w:val="0016000E"/>
    <w:rsid w:val="00160C20"/>
    <w:rsid w:val="00160F6B"/>
    <w:rsid w:val="00161F07"/>
    <w:rsid w:val="00162616"/>
    <w:rsid w:val="00163EB5"/>
    <w:rsid w:val="001670D7"/>
    <w:rsid w:val="00170326"/>
    <w:rsid w:val="0017477F"/>
    <w:rsid w:val="00176899"/>
    <w:rsid w:val="00176E7C"/>
    <w:rsid w:val="00180E35"/>
    <w:rsid w:val="00182AD9"/>
    <w:rsid w:val="00183BCE"/>
    <w:rsid w:val="001868B3"/>
    <w:rsid w:val="00186FA2"/>
    <w:rsid w:val="0019166A"/>
    <w:rsid w:val="001A2557"/>
    <w:rsid w:val="001A2754"/>
    <w:rsid w:val="001A6A9B"/>
    <w:rsid w:val="001A7661"/>
    <w:rsid w:val="001B2D68"/>
    <w:rsid w:val="001B52A2"/>
    <w:rsid w:val="001C40D2"/>
    <w:rsid w:val="001C5E66"/>
    <w:rsid w:val="001C6C21"/>
    <w:rsid w:val="001C77BB"/>
    <w:rsid w:val="001D25AC"/>
    <w:rsid w:val="001E0FCF"/>
    <w:rsid w:val="001E6186"/>
    <w:rsid w:val="001E78D3"/>
    <w:rsid w:val="001F0156"/>
    <w:rsid w:val="001F238E"/>
    <w:rsid w:val="001F6E5C"/>
    <w:rsid w:val="001F78B2"/>
    <w:rsid w:val="002017E3"/>
    <w:rsid w:val="002042B2"/>
    <w:rsid w:val="0020539A"/>
    <w:rsid w:val="002104B3"/>
    <w:rsid w:val="00210928"/>
    <w:rsid w:val="00213E05"/>
    <w:rsid w:val="00215AEB"/>
    <w:rsid w:val="00215F82"/>
    <w:rsid w:val="002234E6"/>
    <w:rsid w:val="00224E8A"/>
    <w:rsid w:val="00227749"/>
    <w:rsid w:val="002278A1"/>
    <w:rsid w:val="00232FF8"/>
    <w:rsid w:val="00234747"/>
    <w:rsid w:val="00234DDA"/>
    <w:rsid w:val="00236F54"/>
    <w:rsid w:val="002414F1"/>
    <w:rsid w:val="002437AC"/>
    <w:rsid w:val="00244138"/>
    <w:rsid w:val="00250741"/>
    <w:rsid w:val="00250A5F"/>
    <w:rsid w:val="00251EA2"/>
    <w:rsid w:val="002520F5"/>
    <w:rsid w:val="00265810"/>
    <w:rsid w:val="0027010E"/>
    <w:rsid w:val="0027212F"/>
    <w:rsid w:val="00281726"/>
    <w:rsid w:val="00282337"/>
    <w:rsid w:val="00291686"/>
    <w:rsid w:val="00291A0A"/>
    <w:rsid w:val="0029270D"/>
    <w:rsid w:val="002927B8"/>
    <w:rsid w:val="002944E3"/>
    <w:rsid w:val="00294744"/>
    <w:rsid w:val="0029723C"/>
    <w:rsid w:val="002A14F4"/>
    <w:rsid w:val="002A3CF9"/>
    <w:rsid w:val="002B03B9"/>
    <w:rsid w:val="002B0579"/>
    <w:rsid w:val="002B2BAB"/>
    <w:rsid w:val="002B3A37"/>
    <w:rsid w:val="002B45F2"/>
    <w:rsid w:val="002C6014"/>
    <w:rsid w:val="002C756B"/>
    <w:rsid w:val="002D0494"/>
    <w:rsid w:val="002D2E1E"/>
    <w:rsid w:val="002D326A"/>
    <w:rsid w:val="002D5ACC"/>
    <w:rsid w:val="002D720B"/>
    <w:rsid w:val="002E03CF"/>
    <w:rsid w:val="002E03D4"/>
    <w:rsid w:val="002E0B8A"/>
    <w:rsid w:val="002E0D98"/>
    <w:rsid w:val="002E1590"/>
    <w:rsid w:val="002E2A2D"/>
    <w:rsid w:val="002E5F28"/>
    <w:rsid w:val="002E7BD3"/>
    <w:rsid w:val="002F0FC5"/>
    <w:rsid w:val="002F155A"/>
    <w:rsid w:val="002F50D3"/>
    <w:rsid w:val="002F58CC"/>
    <w:rsid w:val="002F6D55"/>
    <w:rsid w:val="00303B9A"/>
    <w:rsid w:val="0031226F"/>
    <w:rsid w:val="0031414B"/>
    <w:rsid w:val="003203EE"/>
    <w:rsid w:val="003222D1"/>
    <w:rsid w:val="00322EC2"/>
    <w:rsid w:val="003234CB"/>
    <w:rsid w:val="00323B35"/>
    <w:rsid w:val="0032749A"/>
    <w:rsid w:val="00330C85"/>
    <w:rsid w:val="00331C3E"/>
    <w:rsid w:val="003342F8"/>
    <w:rsid w:val="00340E09"/>
    <w:rsid w:val="00344D20"/>
    <w:rsid w:val="003458D0"/>
    <w:rsid w:val="00345BD4"/>
    <w:rsid w:val="00347E81"/>
    <w:rsid w:val="003512D5"/>
    <w:rsid w:val="003547F7"/>
    <w:rsid w:val="003568FD"/>
    <w:rsid w:val="00361865"/>
    <w:rsid w:val="0036403D"/>
    <w:rsid w:val="003662C9"/>
    <w:rsid w:val="003715BB"/>
    <w:rsid w:val="00373232"/>
    <w:rsid w:val="00374877"/>
    <w:rsid w:val="003750BD"/>
    <w:rsid w:val="00375D6F"/>
    <w:rsid w:val="00380105"/>
    <w:rsid w:val="003819C2"/>
    <w:rsid w:val="00381B55"/>
    <w:rsid w:val="0038590B"/>
    <w:rsid w:val="0038764B"/>
    <w:rsid w:val="00390A6B"/>
    <w:rsid w:val="00393D36"/>
    <w:rsid w:val="00396013"/>
    <w:rsid w:val="003A2301"/>
    <w:rsid w:val="003A24E4"/>
    <w:rsid w:val="003C054E"/>
    <w:rsid w:val="003C328E"/>
    <w:rsid w:val="003C38E3"/>
    <w:rsid w:val="003D5DAC"/>
    <w:rsid w:val="003D6757"/>
    <w:rsid w:val="003D74A9"/>
    <w:rsid w:val="003E2E98"/>
    <w:rsid w:val="003E47C5"/>
    <w:rsid w:val="003E6F74"/>
    <w:rsid w:val="003E7344"/>
    <w:rsid w:val="003F59BB"/>
    <w:rsid w:val="00403DA0"/>
    <w:rsid w:val="004100A0"/>
    <w:rsid w:val="00422151"/>
    <w:rsid w:val="00422261"/>
    <w:rsid w:val="004232EA"/>
    <w:rsid w:val="00430F29"/>
    <w:rsid w:val="00435FAE"/>
    <w:rsid w:val="00440A3A"/>
    <w:rsid w:val="00441266"/>
    <w:rsid w:val="00441B09"/>
    <w:rsid w:val="00450A9C"/>
    <w:rsid w:val="00451858"/>
    <w:rsid w:val="00452680"/>
    <w:rsid w:val="00462C09"/>
    <w:rsid w:val="0046391F"/>
    <w:rsid w:val="004639F0"/>
    <w:rsid w:val="00464B64"/>
    <w:rsid w:val="004679E3"/>
    <w:rsid w:val="00472339"/>
    <w:rsid w:val="00473093"/>
    <w:rsid w:val="00475397"/>
    <w:rsid w:val="00476E5B"/>
    <w:rsid w:val="0047769E"/>
    <w:rsid w:val="004801DF"/>
    <w:rsid w:val="0048148C"/>
    <w:rsid w:val="00481A53"/>
    <w:rsid w:val="004841D2"/>
    <w:rsid w:val="00486763"/>
    <w:rsid w:val="004868AA"/>
    <w:rsid w:val="004905ED"/>
    <w:rsid w:val="00495C4A"/>
    <w:rsid w:val="004A09BC"/>
    <w:rsid w:val="004A1BF1"/>
    <w:rsid w:val="004A1DAF"/>
    <w:rsid w:val="004A427A"/>
    <w:rsid w:val="004B22FF"/>
    <w:rsid w:val="004B540A"/>
    <w:rsid w:val="004C1608"/>
    <w:rsid w:val="004C4F41"/>
    <w:rsid w:val="004D3374"/>
    <w:rsid w:val="004D3F25"/>
    <w:rsid w:val="004D4F62"/>
    <w:rsid w:val="004D61E6"/>
    <w:rsid w:val="004D7EE7"/>
    <w:rsid w:val="004E0A70"/>
    <w:rsid w:val="004E3BFC"/>
    <w:rsid w:val="004F55B9"/>
    <w:rsid w:val="004F562E"/>
    <w:rsid w:val="005048C6"/>
    <w:rsid w:val="00506AF9"/>
    <w:rsid w:val="0050729E"/>
    <w:rsid w:val="00511C93"/>
    <w:rsid w:val="005168B7"/>
    <w:rsid w:val="005211EE"/>
    <w:rsid w:val="00526175"/>
    <w:rsid w:val="00535FA4"/>
    <w:rsid w:val="00537439"/>
    <w:rsid w:val="005410FE"/>
    <w:rsid w:val="005426F6"/>
    <w:rsid w:val="00542BDB"/>
    <w:rsid w:val="00543A59"/>
    <w:rsid w:val="005513D2"/>
    <w:rsid w:val="00553D3C"/>
    <w:rsid w:val="00556C3E"/>
    <w:rsid w:val="00557449"/>
    <w:rsid w:val="00560DD6"/>
    <w:rsid w:val="00561B3A"/>
    <w:rsid w:val="0056473E"/>
    <w:rsid w:val="00565B95"/>
    <w:rsid w:val="005660BE"/>
    <w:rsid w:val="00567587"/>
    <w:rsid w:val="00573196"/>
    <w:rsid w:val="0057572B"/>
    <w:rsid w:val="0058167D"/>
    <w:rsid w:val="0058177A"/>
    <w:rsid w:val="00582BEA"/>
    <w:rsid w:val="005835EF"/>
    <w:rsid w:val="00593CFD"/>
    <w:rsid w:val="00595AE4"/>
    <w:rsid w:val="005A28C7"/>
    <w:rsid w:val="005A6845"/>
    <w:rsid w:val="005A7CC4"/>
    <w:rsid w:val="005B0E4B"/>
    <w:rsid w:val="005B2C49"/>
    <w:rsid w:val="005B554B"/>
    <w:rsid w:val="005B603A"/>
    <w:rsid w:val="005B73DD"/>
    <w:rsid w:val="005B75D8"/>
    <w:rsid w:val="005B7EA8"/>
    <w:rsid w:val="005C16DA"/>
    <w:rsid w:val="005C44D8"/>
    <w:rsid w:val="005C6A5E"/>
    <w:rsid w:val="005D5C03"/>
    <w:rsid w:val="005D7F30"/>
    <w:rsid w:val="005E4353"/>
    <w:rsid w:val="005E491D"/>
    <w:rsid w:val="005E4D1C"/>
    <w:rsid w:val="005E57E5"/>
    <w:rsid w:val="005E6259"/>
    <w:rsid w:val="005F1067"/>
    <w:rsid w:val="005F4908"/>
    <w:rsid w:val="005F5F92"/>
    <w:rsid w:val="00604F8A"/>
    <w:rsid w:val="00607B07"/>
    <w:rsid w:val="00607EC7"/>
    <w:rsid w:val="00610E0B"/>
    <w:rsid w:val="00611D2B"/>
    <w:rsid w:val="00614393"/>
    <w:rsid w:val="0062088C"/>
    <w:rsid w:val="006209D7"/>
    <w:rsid w:val="00620C48"/>
    <w:rsid w:val="00621A90"/>
    <w:rsid w:val="00624433"/>
    <w:rsid w:val="006318E4"/>
    <w:rsid w:val="0063572F"/>
    <w:rsid w:val="00636080"/>
    <w:rsid w:val="00637311"/>
    <w:rsid w:val="006512CC"/>
    <w:rsid w:val="006536E6"/>
    <w:rsid w:val="00656D42"/>
    <w:rsid w:val="00657F2E"/>
    <w:rsid w:val="0066057D"/>
    <w:rsid w:val="006611D6"/>
    <w:rsid w:val="00664753"/>
    <w:rsid w:val="0066761B"/>
    <w:rsid w:val="0067377B"/>
    <w:rsid w:val="006750C0"/>
    <w:rsid w:val="00675823"/>
    <w:rsid w:val="00677880"/>
    <w:rsid w:val="006810E3"/>
    <w:rsid w:val="006843D6"/>
    <w:rsid w:val="0068606D"/>
    <w:rsid w:val="00686810"/>
    <w:rsid w:val="0069237C"/>
    <w:rsid w:val="00694104"/>
    <w:rsid w:val="00694721"/>
    <w:rsid w:val="00696578"/>
    <w:rsid w:val="006A090F"/>
    <w:rsid w:val="006B54CD"/>
    <w:rsid w:val="006B5D7D"/>
    <w:rsid w:val="006C3A47"/>
    <w:rsid w:val="006C40CC"/>
    <w:rsid w:val="006D2917"/>
    <w:rsid w:val="006D2D65"/>
    <w:rsid w:val="006D4DB1"/>
    <w:rsid w:val="006D6887"/>
    <w:rsid w:val="006D6A20"/>
    <w:rsid w:val="006D7394"/>
    <w:rsid w:val="006D7A31"/>
    <w:rsid w:val="006E04AB"/>
    <w:rsid w:val="006E3F2D"/>
    <w:rsid w:val="006E4E12"/>
    <w:rsid w:val="006E50D2"/>
    <w:rsid w:val="006F1DE8"/>
    <w:rsid w:val="006F6D4C"/>
    <w:rsid w:val="00700006"/>
    <w:rsid w:val="00701F78"/>
    <w:rsid w:val="00704084"/>
    <w:rsid w:val="00710321"/>
    <w:rsid w:val="00710A9B"/>
    <w:rsid w:val="00714245"/>
    <w:rsid w:val="00714EC0"/>
    <w:rsid w:val="00715B90"/>
    <w:rsid w:val="00717D79"/>
    <w:rsid w:val="0072130B"/>
    <w:rsid w:val="0072309D"/>
    <w:rsid w:val="007240AC"/>
    <w:rsid w:val="007254A4"/>
    <w:rsid w:val="007269C1"/>
    <w:rsid w:val="00733765"/>
    <w:rsid w:val="00733CD7"/>
    <w:rsid w:val="007354D4"/>
    <w:rsid w:val="00737EB9"/>
    <w:rsid w:val="00741BD7"/>
    <w:rsid w:val="00742A0E"/>
    <w:rsid w:val="00743906"/>
    <w:rsid w:val="00743E52"/>
    <w:rsid w:val="00744950"/>
    <w:rsid w:val="00745536"/>
    <w:rsid w:val="00757518"/>
    <w:rsid w:val="0076009E"/>
    <w:rsid w:val="0076105E"/>
    <w:rsid w:val="007632EE"/>
    <w:rsid w:val="00766B84"/>
    <w:rsid w:val="007705D5"/>
    <w:rsid w:val="007739F1"/>
    <w:rsid w:val="00774C25"/>
    <w:rsid w:val="00775AA8"/>
    <w:rsid w:val="00775D16"/>
    <w:rsid w:val="007763DB"/>
    <w:rsid w:val="007932CE"/>
    <w:rsid w:val="00794531"/>
    <w:rsid w:val="007969DB"/>
    <w:rsid w:val="007A26B2"/>
    <w:rsid w:val="007A34C3"/>
    <w:rsid w:val="007A5B7B"/>
    <w:rsid w:val="007A6E9D"/>
    <w:rsid w:val="007B3AB6"/>
    <w:rsid w:val="007B409A"/>
    <w:rsid w:val="007B5AAF"/>
    <w:rsid w:val="007C15DE"/>
    <w:rsid w:val="007D6103"/>
    <w:rsid w:val="007D673C"/>
    <w:rsid w:val="007E287F"/>
    <w:rsid w:val="007E7EAC"/>
    <w:rsid w:val="007F20E5"/>
    <w:rsid w:val="007F3BBF"/>
    <w:rsid w:val="007F50B9"/>
    <w:rsid w:val="00800792"/>
    <w:rsid w:val="00800BCF"/>
    <w:rsid w:val="00803268"/>
    <w:rsid w:val="00807719"/>
    <w:rsid w:val="0080794B"/>
    <w:rsid w:val="00811E06"/>
    <w:rsid w:val="00814388"/>
    <w:rsid w:val="00814871"/>
    <w:rsid w:val="00820AC6"/>
    <w:rsid w:val="0082558A"/>
    <w:rsid w:val="0082722C"/>
    <w:rsid w:val="0083054F"/>
    <w:rsid w:val="00832FC5"/>
    <w:rsid w:val="00833D7E"/>
    <w:rsid w:val="00834966"/>
    <w:rsid w:val="008350D3"/>
    <w:rsid w:val="0083674F"/>
    <w:rsid w:val="008439D3"/>
    <w:rsid w:val="008537AB"/>
    <w:rsid w:val="00853C81"/>
    <w:rsid w:val="00862210"/>
    <w:rsid w:val="00864215"/>
    <w:rsid w:val="008660B0"/>
    <w:rsid w:val="00870218"/>
    <w:rsid w:val="00870F5F"/>
    <w:rsid w:val="0087167E"/>
    <w:rsid w:val="00872265"/>
    <w:rsid w:val="00873D36"/>
    <w:rsid w:val="0088595B"/>
    <w:rsid w:val="008908C5"/>
    <w:rsid w:val="00891746"/>
    <w:rsid w:val="00892F5F"/>
    <w:rsid w:val="008930BB"/>
    <w:rsid w:val="00893963"/>
    <w:rsid w:val="00895BC5"/>
    <w:rsid w:val="008972DD"/>
    <w:rsid w:val="008A1FAC"/>
    <w:rsid w:val="008A2FC8"/>
    <w:rsid w:val="008A41D8"/>
    <w:rsid w:val="008A650C"/>
    <w:rsid w:val="008A680D"/>
    <w:rsid w:val="008B0164"/>
    <w:rsid w:val="008B1F9F"/>
    <w:rsid w:val="008B4823"/>
    <w:rsid w:val="008B4F41"/>
    <w:rsid w:val="008C1085"/>
    <w:rsid w:val="008C1522"/>
    <w:rsid w:val="008C3507"/>
    <w:rsid w:val="008C44C7"/>
    <w:rsid w:val="008C7CC1"/>
    <w:rsid w:val="008D2393"/>
    <w:rsid w:val="008D4D76"/>
    <w:rsid w:val="008E62A7"/>
    <w:rsid w:val="008E72F6"/>
    <w:rsid w:val="008F18A7"/>
    <w:rsid w:val="008F315F"/>
    <w:rsid w:val="008F5705"/>
    <w:rsid w:val="00900EA4"/>
    <w:rsid w:val="009046FA"/>
    <w:rsid w:val="0092024A"/>
    <w:rsid w:val="00923457"/>
    <w:rsid w:val="009348AE"/>
    <w:rsid w:val="009405BD"/>
    <w:rsid w:val="00943297"/>
    <w:rsid w:val="00952796"/>
    <w:rsid w:val="00970135"/>
    <w:rsid w:val="00972976"/>
    <w:rsid w:val="00973B81"/>
    <w:rsid w:val="00974D49"/>
    <w:rsid w:val="0098129F"/>
    <w:rsid w:val="0098606A"/>
    <w:rsid w:val="00986E64"/>
    <w:rsid w:val="009914F6"/>
    <w:rsid w:val="00992B1F"/>
    <w:rsid w:val="00994175"/>
    <w:rsid w:val="00994606"/>
    <w:rsid w:val="00994B00"/>
    <w:rsid w:val="00995834"/>
    <w:rsid w:val="009A3389"/>
    <w:rsid w:val="009A3F33"/>
    <w:rsid w:val="009A48F4"/>
    <w:rsid w:val="009B16B0"/>
    <w:rsid w:val="009B2577"/>
    <w:rsid w:val="009B37DD"/>
    <w:rsid w:val="009B4ADE"/>
    <w:rsid w:val="009C027E"/>
    <w:rsid w:val="009C16BF"/>
    <w:rsid w:val="009C3C38"/>
    <w:rsid w:val="009C3E4E"/>
    <w:rsid w:val="009D531B"/>
    <w:rsid w:val="009D6C0F"/>
    <w:rsid w:val="009E036B"/>
    <w:rsid w:val="009E19E5"/>
    <w:rsid w:val="009E4562"/>
    <w:rsid w:val="009E575F"/>
    <w:rsid w:val="009E7448"/>
    <w:rsid w:val="009E7D4D"/>
    <w:rsid w:val="009F0E52"/>
    <w:rsid w:val="009F1E70"/>
    <w:rsid w:val="009F3649"/>
    <w:rsid w:val="009F54AD"/>
    <w:rsid w:val="009F6206"/>
    <w:rsid w:val="009F63CA"/>
    <w:rsid w:val="00A01F08"/>
    <w:rsid w:val="00A02699"/>
    <w:rsid w:val="00A06A1D"/>
    <w:rsid w:val="00A11480"/>
    <w:rsid w:val="00A1176F"/>
    <w:rsid w:val="00A15C65"/>
    <w:rsid w:val="00A202DC"/>
    <w:rsid w:val="00A20CAA"/>
    <w:rsid w:val="00A3240D"/>
    <w:rsid w:val="00A32580"/>
    <w:rsid w:val="00A32BC1"/>
    <w:rsid w:val="00A330E8"/>
    <w:rsid w:val="00A33384"/>
    <w:rsid w:val="00A404CA"/>
    <w:rsid w:val="00A417CF"/>
    <w:rsid w:val="00A42E80"/>
    <w:rsid w:val="00A432A2"/>
    <w:rsid w:val="00A45963"/>
    <w:rsid w:val="00A53432"/>
    <w:rsid w:val="00A6075A"/>
    <w:rsid w:val="00A6138E"/>
    <w:rsid w:val="00A6421B"/>
    <w:rsid w:val="00A66178"/>
    <w:rsid w:val="00A70593"/>
    <w:rsid w:val="00A76134"/>
    <w:rsid w:val="00A76281"/>
    <w:rsid w:val="00A811F7"/>
    <w:rsid w:val="00A81424"/>
    <w:rsid w:val="00A81F99"/>
    <w:rsid w:val="00A859AD"/>
    <w:rsid w:val="00A90AD1"/>
    <w:rsid w:val="00A922D5"/>
    <w:rsid w:val="00AA0445"/>
    <w:rsid w:val="00AA3453"/>
    <w:rsid w:val="00AA4770"/>
    <w:rsid w:val="00AB0275"/>
    <w:rsid w:val="00AB1933"/>
    <w:rsid w:val="00AB1D03"/>
    <w:rsid w:val="00AB26FA"/>
    <w:rsid w:val="00AB55A6"/>
    <w:rsid w:val="00AC0339"/>
    <w:rsid w:val="00AC2681"/>
    <w:rsid w:val="00AC360B"/>
    <w:rsid w:val="00AC42DA"/>
    <w:rsid w:val="00AD6607"/>
    <w:rsid w:val="00AE06BA"/>
    <w:rsid w:val="00AE2804"/>
    <w:rsid w:val="00AE33AA"/>
    <w:rsid w:val="00AE6EDB"/>
    <w:rsid w:val="00AE7C7A"/>
    <w:rsid w:val="00AF1B04"/>
    <w:rsid w:val="00AF5F85"/>
    <w:rsid w:val="00AF782E"/>
    <w:rsid w:val="00B0145F"/>
    <w:rsid w:val="00B10624"/>
    <w:rsid w:val="00B110D0"/>
    <w:rsid w:val="00B12769"/>
    <w:rsid w:val="00B12CA4"/>
    <w:rsid w:val="00B16629"/>
    <w:rsid w:val="00B202C0"/>
    <w:rsid w:val="00B214B3"/>
    <w:rsid w:val="00B22490"/>
    <w:rsid w:val="00B27B7D"/>
    <w:rsid w:val="00B318B3"/>
    <w:rsid w:val="00B40A1A"/>
    <w:rsid w:val="00B4519C"/>
    <w:rsid w:val="00B456EC"/>
    <w:rsid w:val="00B46F05"/>
    <w:rsid w:val="00B500E9"/>
    <w:rsid w:val="00B52260"/>
    <w:rsid w:val="00B536C6"/>
    <w:rsid w:val="00B55BF2"/>
    <w:rsid w:val="00B61037"/>
    <w:rsid w:val="00B61340"/>
    <w:rsid w:val="00B63174"/>
    <w:rsid w:val="00B63D87"/>
    <w:rsid w:val="00B6658B"/>
    <w:rsid w:val="00B73933"/>
    <w:rsid w:val="00B740A2"/>
    <w:rsid w:val="00B80A2E"/>
    <w:rsid w:val="00B83BC8"/>
    <w:rsid w:val="00B8721B"/>
    <w:rsid w:val="00B9225C"/>
    <w:rsid w:val="00B92322"/>
    <w:rsid w:val="00B9316B"/>
    <w:rsid w:val="00B96D7C"/>
    <w:rsid w:val="00B96F21"/>
    <w:rsid w:val="00B978AF"/>
    <w:rsid w:val="00B97CA7"/>
    <w:rsid w:val="00BA4974"/>
    <w:rsid w:val="00BA59D1"/>
    <w:rsid w:val="00BA5D1A"/>
    <w:rsid w:val="00BB3825"/>
    <w:rsid w:val="00BB5893"/>
    <w:rsid w:val="00BB7DCE"/>
    <w:rsid w:val="00BC1283"/>
    <w:rsid w:val="00BC13CB"/>
    <w:rsid w:val="00BC1FB1"/>
    <w:rsid w:val="00BC2301"/>
    <w:rsid w:val="00BC29D7"/>
    <w:rsid w:val="00BC34F7"/>
    <w:rsid w:val="00BC487E"/>
    <w:rsid w:val="00BC62A3"/>
    <w:rsid w:val="00BE5BD5"/>
    <w:rsid w:val="00BE63BC"/>
    <w:rsid w:val="00BF0513"/>
    <w:rsid w:val="00BF0DC7"/>
    <w:rsid w:val="00BF29AA"/>
    <w:rsid w:val="00BF32ED"/>
    <w:rsid w:val="00BF3322"/>
    <w:rsid w:val="00BF41DD"/>
    <w:rsid w:val="00C041FA"/>
    <w:rsid w:val="00C0478A"/>
    <w:rsid w:val="00C05648"/>
    <w:rsid w:val="00C116E5"/>
    <w:rsid w:val="00C11B23"/>
    <w:rsid w:val="00C14EAF"/>
    <w:rsid w:val="00C1625D"/>
    <w:rsid w:val="00C16B7B"/>
    <w:rsid w:val="00C16D57"/>
    <w:rsid w:val="00C2165D"/>
    <w:rsid w:val="00C22D5A"/>
    <w:rsid w:val="00C27BC5"/>
    <w:rsid w:val="00C27F99"/>
    <w:rsid w:val="00C32970"/>
    <w:rsid w:val="00C332CA"/>
    <w:rsid w:val="00C407E1"/>
    <w:rsid w:val="00C40BC9"/>
    <w:rsid w:val="00C43359"/>
    <w:rsid w:val="00C45A54"/>
    <w:rsid w:val="00C47550"/>
    <w:rsid w:val="00C50DBD"/>
    <w:rsid w:val="00C522AC"/>
    <w:rsid w:val="00C74D11"/>
    <w:rsid w:val="00C75D5D"/>
    <w:rsid w:val="00C76687"/>
    <w:rsid w:val="00C80B89"/>
    <w:rsid w:val="00C83E4A"/>
    <w:rsid w:val="00C84598"/>
    <w:rsid w:val="00C87383"/>
    <w:rsid w:val="00C873B5"/>
    <w:rsid w:val="00C90733"/>
    <w:rsid w:val="00C930A7"/>
    <w:rsid w:val="00C93139"/>
    <w:rsid w:val="00C958C5"/>
    <w:rsid w:val="00CA032E"/>
    <w:rsid w:val="00CA174D"/>
    <w:rsid w:val="00CA18C0"/>
    <w:rsid w:val="00CA2EA9"/>
    <w:rsid w:val="00CA464F"/>
    <w:rsid w:val="00CA6103"/>
    <w:rsid w:val="00CB13E3"/>
    <w:rsid w:val="00CB73BE"/>
    <w:rsid w:val="00CC3459"/>
    <w:rsid w:val="00CC57EE"/>
    <w:rsid w:val="00CC7026"/>
    <w:rsid w:val="00CD36E0"/>
    <w:rsid w:val="00CD40F1"/>
    <w:rsid w:val="00CD6274"/>
    <w:rsid w:val="00CD7B06"/>
    <w:rsid w:val="00CE02BB"/>
    <w:rsid w:val="00CE14D8"/>
    <w:rsid w:val="00CE3A88"/>
    <w:rsid w:val="00CE3DE9"/>
    <w:rsid w:val="00CE7448"/>
    <w:rsid w:val="00CF125D"/>
    <w:rsid w:val="00CF2B8D"/>
    <w:rsid w:val="00CF55C3"/>
    <w:rsid w:val="00D04B0C"/>
    <w:rsid w:val="00D04F60"/>
    <w:rsid w:val="00D104C5"/>
    <w:rsid w:val="00D10896"/>
    <w:rsid w:val="00D16E0B"/>
    <w:rsid w:val="00D207B7"/>
    <w:rsid w:val="00D24C39"/>
    <w:rsid w:val="00D24FAD"/>
    <w:rsid w:val="00D42FD1"/>
    <w:rsid w:val="00D43B7D"/>
    <w:rsid w:val="00D4632D"/>
    <w:rsid w:val="00D467C8"/>
    <w:rsid w:val="00D515C5"/>
    <w:rsid w:val="00D5550B"/>
    <w:rsid w:val="00D55735"/>
    <w:rsid w:val="00D57DD1"/>
    <w:rsid w:val="00D61774"/>
    <w:rsid w:val="00D67FF9"/>
    <w:rsid w:val="00D72044"/>
    <w:rsid w:val="00D72E2C"/>
    <w:rsid w:val="00D73870"/>
    <w:rsid w:val="00D739DD"/>
    <w:rsid w:val="00D750B1"/>
    <w:rsid w:val="00D80939"/>
    <w:rsid w:val="00D82A96"/>
    <w:rsid w:val="00D8510A"/>
    <w:rsid w:val="00D86406"/>
    <w:rsid w:val="00D91086"/>
    <w:rsid w:val="00D95CF7"/>
    <w:rsid w:val="00D96F66"/>
    <w:rsid w:val="00D97698"/>
    <w:rsid w:val="00DA1676"/>
    <w:rsid w:val="00DA31F2"/>
    <w:rsid w:val="00DA57E4"/>
    <w:rsid w:val="00DA6B24"/>
    <w:rsid w:val="00DB2BEF"/>
    <w:rsid w:val="00DB37CC"/>
    <w:rsid w:val="00DB45F8"/>
    <w:rsid w:val="00DB56D0"/>
    <w:rsid w:val="00DB7733"/>
    <w:rsid w:val="00DC0DC8"/>
    <w:rsid w:val="00DD0907"/>
    <w:rsid w:val="00DD2914"/>
    <w:rsid w:val="00DD2B7B"/>
    <w:rsid w:val="00DD2FE4"/>
    <w:rsid w:val="00DD384D"/>
    <w:rsid w:val="00DD3DA9"/>
    <w:rsid w:val="00DD7B2E"/>
    <w:rsid w:val="00DE0F05"/>
    <w:rsid w:val="00DF169F"/>
    <w:rsid w:val="00DF3C0D"/>
    <w:rsid w:val="00DF477C"/>
    <w:rsid w:val="00DF4785"/>
    <w:rsid w:val="00DF621B"/>
    <w:rsid w:val="00E02085"/>
    <w:rsid w:val="00E0269D"/>
    <w:rsid w:val="00E06D16"/>
    <w:rsid w:val="00E150A2"/>
    <w:rsid w:val="00E20A0B"/>
    <w:rsid w:val="00E23828"/>
    <w:rsid w:val="00E255C5"/>
    <w:rsid w:val="00E25B3D"/>
    <w:rsid w:val="00E30229"/>
    <w:rsid w:val="00E30A9B"/>
    <w:rsid w:val="00E30E30"/>
    <w:rsid w:val="00E30FDB"/>
    <w:rsid w:val="00E33401"/>
    <w:rsid w:val="00E3408A"/>
    <w:rsid w:val="00E34B9C"/>
    <w:rsid w:val="00E46A1E"/>
    <w:rsid w:val="00E47C0A"/>
    <w:rsid w:val="00E502B9"/>
    <w:rsid w:val="00E517FC"/>
    <w:rsid w:val="00E5186E"/>
    <w:rsid w:val="00E52902"/>
    <w:rsid w:val="00E52CD7"/>
    <w:rsid w:val="00E54951"/>
    <w:rsid w:val="00E55481"/>
    <w:rsid w:val="00E567C4"/>
    <w:rsid w:val="00E63BE8"/>
    <w:rsid w:val="00E63D9E"/>
    <w:rsid w:val="00E653C2"/>
    <w:rsid w:val="00E65458"/>
    <w:rsid w:val="00E65ABF"/>
    <w:rsid w:val="00E65C08"/>
    <w:rsid w:val="00E778D4"/>
    <w:rsid w:val="00E845AC"/>
    <w:rsid w:val="00E86267"/>
    <w:rsid w:val="00E9055E"/>
    <w:rsid w:val="00E90CC4"/>
    <w:rsid w:val="00E96459"/>
    <w:rsid w:val="00E968B5"/>
    <w:rsid w:val="00EA2FF9"/>
    <w:rsid w:val="00EA325F"/>
    <w:rsid w:val="00EA6D48"/>
    <w:rsid w:val="00EB0573"/>
    <w:rsid w:val="00EB1E71"/>
    <w:rsid w:val="00EB2FB6"/>
    <w:rsid w:val="00EB5B37"/>
    <w:rsid w:val="00EC2938"/>
    <w:rsid w:val="00ED1FAC"/>
    <w:rsid w:val="00ED3E81"/>
    <w:rsid w:val="00ED4D67"/>
    <w:rsid w:val="00ED5268"/>
    <w:rsid w:val="00ED574E"/>
    <w:rsid w:val="00ED6C19"/>
    <w:rsid w:val="00ED7C02"/>
    <w:rsid w:val="00EE0035"/>
    <w:rsid w:val="00EE5BF2"/>
    <w:rsid w:val="00EE69C1"/>
    <w:rsid w:val="00EE6A1E"/>
    <w:rsid w:val="00EE7C96"/>
    <w:rsid w:val="00EF116E"/>
    <w:rsid w:val="00EF157E"/>
    <w:rsid w:val="00EF3F45"/>
    <w:rsid w:val="00EF42AC"/>
    <w:rsid w:val="00F02555"/>
    <w:rsid w:val="00F042A5"/>
    <w:rsid w:val="00F04BBD"/>
    <w:rsid w:val="00F118AB"/>
    <w:rsid w:val="00F11D7F"/>
    <w:rsid w:val="00F12191"/>
    <w:rsid w:val="00F123E6"/>
    <w:rsid w:val="00F12964"/>
    <w:rsid w:val="00F12AC4"/>
    <w:rsid w:val="00F12B61"/>
    <w:rsid w:val="00F13162"/>
    <w:rsid w:val="00F14A96"/>
    <w:rsid w:val="00F1578B"/>
    <w:rsid w:val="00F162CA"/>
    <w:rsid w:val="00F174EF"/>
    <w:rsid w:val="00F313EF"/>
    <w:rsid w:val="00F32185"/>
    <w:rsid w:val="00F32657"/>
    <w:rsid w:val="00F32B57"/>
    <w:rsid w:val="00F33A04"/>
    <w:rsid w:val="00F33CCB"/>
    <w:rsid w:val="00F34505"/>
    <w:rsid w:val="00F36822"/>
    <w:rsid w:val="00F36BE4"/>
    <w:rsid w:val="00F40620"/>
    <w:rsid w:val="00F41472"/>
    <w:rsid w:val="00F41BEE"/>
    <w:rsid w:val="00F41EA8"/>
    <w:rsid w:val="00F422E1"/>
    <w:rsid w:val="00F44D3A"/>
    <w:rsid w:val="00F45876"/>
    <w:rsid w:val="00F4592B"/>
    <w:rsid w:val="00F46986"/>
    <w:rsid w:val="00F47F43"/>
    <w:rsid w:val="00F55CA6"/>
    <w:rsid w:val="00F56C18"/>
    <w:rsid w:val="00F56FF7"/>
    <w:rsid w:val="00F6013E"/>
    <w:rsid w:val="00F62AD9"/>
    <w:rsid w:val="00F62BDE"/>
    <w:rsid w:val="00F62FE8"/>
    <w:rsid w:val="00F66332"/>
    <w:rsid w:val="00F70AA4"/>
    <w:rsid w:val="00F7324A"/>
    <w:rsid w:val="00F760EC"/>
    <w:rsid w:val="00F81AC8"/>
    <w:rsid w:val="00F824C4"/>
    <w:rsid w:val="00F84100"/>
    <w:rsid w:val="00F85A11"/>
    <w:rsid w:val="00F9127E"/>
    <w:rsid w:val="00F9283D"/>
    <w:rsid w:val="00F93256"/>
    <w:rsid w:val="00F95E30"/>
    <w:rsid w:val="00F95EFE"/>
    <w:rsid w:val="00F960D9"/>
    <w:rsid w:val="00FA3E16"/>
    <w:rsid w:val="00FA4EF8"/>
    <w:rsid w:val="00FA5867"/>
    <w:rsid w:val="00FB02CF"/>
    <w:rsid w:val="00FB0703"/>
    <w:rsid w:val="00FB075E"/>
    <w:rsid w:val="00FB3E9C"/>
    <w:rsid w:val="00FB5C98"/>
    <w:rsid w:val="00FB67EF"/>
    <w:rsid w:val="00FB72A8"/>
    <w:rsid w:val="00FB7917"/>
    <w:rsid w:val="00FC22CD"/>
    <w:rsid w:val="00FD0265"/>
    <w:rsid w:val="00FD2B26"/>
    <w:rsid w:val="00FD4984"/>
    <w:rsid w:val="00FD4B33"/>
    <w:rsid w:val="00FD53A7"/>
    <w:rsid w:val="00FD62D4"/>
    <w:rsid w:val="00FD64D2"/>
    <w:rsid w:val="00FD76A5"/>
    <w:rsid w:val="00FD781E"/>
    <w:rsid w:val="00FE0089"/>
    <w:rsid w:val="00FE1054"/>
    <w:rsid w:val="00FE1814"/>
    <w:rsid w:val="00FE5553"/>
    <w:rsid w:val="00FE5BC2"/>
    <w:rsid w:val="00FF35C0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FA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FD1"/>
  </w:style>
  <w:style w:type="paragraph" w:styleId="Footer">
    <w:name w:val="footer"/>
    <w:basedOn w:val="Normal"/>
    <w:link w:val="FooterChar"/>
    <w:uiPriority w:val="99"/>
    <w:unhideWhenUsed/>
    <w:rsid w:val="00D4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FD1"/>
  </w:style>
  <w:style w:type="table" w:styleId="TableGrid">
    <w:name w:val="Table Grid"/>
    <w:basedOn w:val="TableNormal"/>
    <w:uiPriority w:val="39"/>
    <w:rsid w:val="004D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6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0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1A0A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FF35C0"/>
  </w:style>
  <w:style w:type="character" w:styleId="Hyperlink">
    <w:name w:val="Hyperlink"/>
    <w:basedOn w:val="DefaultParagraphFont"/>
    <w:uiPriority w:val="99"/>
    <w:unhideWhenUsed/>
    <w:rsid w:val="002347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0B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C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5B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3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1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2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716EE-1B74-4B73-8F27-0195E635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2019-12-18T14:46:00Z</dcterms:created>
  <dcterms:modified xsi:type="dcterms:W3CDTF">2019-12-18T14:46:00Z</dcterms:modified>
</cp:coreProperties>
</file>