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6F" w:rsidRPr="007340D5" w:rsidRDefault="00C0196F" w:rsidP="00C0196F">
      <w:pPr>
        <w:spacing w:line="276" w:lineRule="auto"/>
        <w:rPr>
          <w:rFonts w:ascii="Times New Roman" w:hAnsi="Times New Roman" w:cs="Times New Roman"/>
          <w:b/>
        </w:rPr>
      </w:pPr>
      <w:r w:rsidRPr="007340D5">
        <w:rPr>
          <w:rFonts w:ascii="Times New Roman" w:hAnsi="Times New Roman" w:cs="Times New Roman"/>
          <w:b/>
        </w:rPr>
        <w:t xml:space="preserve">Supplementary material </w:t>
      </w:r>
    </w:p>
    <w:p w:rsidR="00C0196F" w:rsidRPr="007340D5" w:rsidRDefault="00C0196F" w:rsidP="00C0196F">
      <w:pPr>
        <w:spacing w:line="276" w:lineRule="auto"/>
        <w:rPr>
          <w:rFonts w:ascii="Times New Roman" w:hAnsi="Times New Roman" w:cs="Times New Roman"/>
        </w:rPr>
      </w:pPr>
    </w:p>
    <w:p w:rsidR="00C0196F" w:rsidRPr="007340D5" w:rsidRDefault="00C0196F" w:rsidP="00C0196F">
      <w:pPr>
        <w:adjustRightInd w:val="0"/>
        <w:rPr>
          <w:rFonts w:ascii="Times New Roman" w:hAnsi="Times New Roman" w:cs="Times New Roman"/>
          <w:b/>
        </w:rPr>
      </w:pPr>
      <w:r w:rsidRPr="007340D5">
        <w:rPr>
          <w:rFonts w:ascii="Times New Roman" w:hAnsi="Times New Roman" w:cs="Times New Roman"/>
          <w:b/>
        </w:rPr>
        <w:t>Supplementary Table 1: Results from difference-in-difference sensitivity analyses for the association between coverage gap and being adherent (PDC &gt;=0.8) for DPP-4i and Sulfonylurea initiators who entered the coverage gap in 2016, but did not enter the catastrophic phase in 2016</w:t>
      </w:r>
    </w:p>
    <w:p w:rsidR="00C0196F" w:rsidRPr="007340D5" w:rsidRDefault="00C0196F" w:rsidP="00C0196F">
      <w:pPr>
        <w:adjustRightInd w:val="0"/>
        <w:rPr>
          <w:rFonts w:ascii="Times New Roman" w:hAnsi="Times New Roman" w:cs="Times New Roman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1860"/>
        <w:gridCol w:w="1800"/>
        <w:gridCol w:w="2005"/>
        <w:gridCol w:w="1980"/>
        <w:gridCol w:w="1890"/>
      </w:tblGrid>
      <w:tr w:rsidR="007340D5" w:rsidRPr="007340D5" w:rsidTr="001849F9">
        <w:trPr>
          <w:trHeight w:val="7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% with PDC&gt;=0.8 before coverage gap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% with PDC&gt;=0.8 while in coverage gap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Difference (in coverage gap -before coverage gap)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Relative risk (95% CI)</w:t>
            </w:r>
          </w:p>
        </w:tc>
      </w:tr>
      <w:tr w:rsidR="007340D5" w:rsidRPr="007340D5" w:rsidTr="001849F9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DPP-4i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340D5" w:rsidRPr="007340D5" w:rsidTr="001849F9">
        <w:trPr>
          <w:trHeight w:val="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40D5">
              <w:rPr>
                <w:rFonts w:ascii="Times New Roman" w:eastAsia="Times New Roman" w:hAnsi="Times New Roman" w:cs="Times New Roman"/>
              </w:rPr>
              <w:t>Non-subsidized patients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68.5 (66.7, 70.3)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44.3 (42.5, 46.2)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-24.2 (-25.8, -22.5)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40D5" w:rsidRPr="007340D5" w:rsidTr="001849F9">
        <w:trPr>
          <w:trHeight w:val="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40D5">
              <w:rPr>
                <w:rFonts w:ascii="Times New Roman" w:eastAsia="Times New Roman" w:hAnsi="Times New Roman" w:cs="Times New Roman"/>
              </w:rPr>
              <w:t xml:space="preserve">Subsidized patients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69.4 (67.7, 71.2)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62.6 (60.8, 64.4)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-6.9 (-8.9, -4.9)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40D5" w:rsidRPr="007340D5" w:rsidTr="001849F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40D5">
              <w:rPr>
                <w:rFonts w:ascii="Times New Roman" w:eastAsia="Times New Roman" w:hAnsi="Times New Roman" w:cs="Times New Roman"/>
              </w:rPr>
              <w:t>Coverage Effect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-17.3 (-19.9, -14.7)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0.73 (0.70, 0.76)</w:t>
            </w:r>
          </w:p>
        </w:tc>
      </w:tr>
      <w:tr w:rsidR="007340D5" w:rsidRPr="007340D5" w:rsidTr="001849F9">
        <w:trPr>
          <w:cantSplit/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Sulfonylureas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40D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340D5" w:rsidRPr="007340D5" w:rsidTr="001849F9">
        <w:trPr>
          <w:trHeight w:val="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40D5">
              <w:rPr>
                <w:rFonts w:ascii="Times New Roman" w:eastAsia="Times New Roman" w:hAnsi="Times New Roman" w:cs="Times New Roman"/>
              </w:rPr>
              <w:t>Non-subsidized patients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70.0 (67.9, 72.1)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61.7 (59.6, 63.9)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-8.3 (-9.8, -6.8)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40D5" w:rsidRPr="007340D5" w:rsidTr="001849F9">
        <w:trPr>
          <w:trHeight w:val="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40D5">
              <w:rPr>
                <w:rFonts w:ascii="Times New Roman" w:eastAsia="Times New Roman" w:hAnsi="Times New Roman" w:cs="Times New Roman"/>
              </w:rPr>
              <w:t xml:space="preserve">Subsidized patients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65.0 (63.0, 66.9)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57.9 (55.9, 59.8)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-7.2 (-9.2, -5.2)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40D5" w:rsidRPr="007340D5" w:rsidTr="001849F9">
        <w:trPr>
          <w:cantSplit/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40D5">
              <w:rPr>
                <w:rFonts w:ascii="Times New Roman" w:eastAsia="Times New Roman" w:hAnsi="Times New Roman" w:cs="Times New Roman"/>
              </w:rPr>
              <w:t>Coverage Effect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-1.2 (-3.6, 1.3)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keepNext/>
              <w:adjustRightInd w:val="0"/>
              <w:spacing w:before="115" w:after="115"/>
              <w:jc w:val="right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0.99 (0.95, 1.03)</w:t>
            </w:r>
          </w:p>
        </w:tc>
      </w:tr>
      <w:tr w:rsidR="007340D5" w:rsidRPr="007340D5" w:rsidTr="001849F9">
        <w:trPr>
          <w:cantSplit/>
          <w:trHeight w:val="660"/>
        </w:trPr>
        <w:tc>
          <w:tcPr>
            <w:tcW w:w="9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0D5" w:rsidRPr="007340D5" w:rsidRDefault="007340D5" w:rsidP="00734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40D5">
              <w:rPr>
                <w:rFonts w:ascii="Times New Roman" w:eastAsia="Times New Roman" w:hAnsi="Times New Roman" w:cs="Times New Roman"/>
              </w:rPr>
              <w:t xml:space="preserve">DPP-4i: Dipeptidyl peptidase 4 </w:t>
            </w:r>
            <w:proofErr w:type="spellStart"/>
            <w:r w:rsidRPr="007340D5">
              <w:rPr>
                <w:rFonts w:ascii="Times New Roman" w:eastAsia="Times New Roman" w:hAnsi="Times New Roman" w:cs="Times New Roman"/>
              </w:rPr>
              <w:t>inhibitors</w:t>
            </w:r>
            <w:proofErr w:type="gramStart"/>
            <w:r w:rsidRPr="007340D5">
              <w:rPr>
                <w:rFonts w:ascii="Times New Roman" w:eastAsia="Times New Roman" w:hAnsi="Times New Roman" w:cs="Times New Roman"/>
              </w:rPr>
              <w:t>,SMD</w:t>
            </w:r>
            <w:proofErr w:type="spellEnd"/>
            <w:proofErr w:type="gramEnd"/>
            <w:r w:rsidRPr="007340D5">
              <w:rPr>
                <w:rFonts w:ascii="Times New Roman" w:eastAsia="Times New Roman" w:hAnsi="Times New Roman" w:cs="Times New Roman"/>
              </w:rPr>
              <w:t>: Standardized mean difference, Subsidized patients: patients with full low income subsidy; Non-subsidized patients: patients without low income subsidy</w:t>
            </w:r>
            <w:r w:rsidRPr="007340D5">
              <w:rPr>
                <w:rFonts w:ascii="Times New Roman" w:eastAsia="Times New Roman" w:hAnsi="Times New Roman" w:cs="Times New Roman"/>
              </w:rPr>
              <w:t>.</w:t>
            </w:r>
            <w:r w:rsidRPr="007340D5">
              <w:rPr>
                <w:rFonts w:ascii="Times New Roman" w:eastAsia="Times New Roman" w:hAnsi="Times New Roman" w:cs="Times New Roman"/>
              </w:rPr>
              <w:t xml:space="preserve"> Proportion of days covered (PDC) calculated as the number of days’ supply for the drug class in a certain period (pre or post-coverage gap period in 2016), divided by the number of days in that period; All models adjusted for age, sex, race and comorbidities.</w:t>
            </w:r>
          </w:p>
        </w:tc>
      </w:tr>
      <w:tr w:rsidR="007340D5" w:rsidRPr="007340D5" w:rsidTr="001849F9">
        <w:trPr>
          <w:trHeight w:val="509"/>
        </w:trPr>
        <w:tc>
          <w:tcPr>
            <w:tcW w:w="95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D5" w:rsidRPr="007340D5" w:rsidRDefault="007340D5" w:rsidP="0018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021C" w:rsidRPr="007340D5" w:rsidRDefault="0042021C" w:rsidP="00C0196F">
      <w:pPr>
        <w:rPr>
          <w:rFonts w:ascii="Times New Roman" w:hAnsi="Times New Roman" w:cs="Times New Roman"/>
        </w:rPr>
      </w:pPr>
    </w:p>
    <w:p w:rsidR="00C0196F" w:rsidRPr="007340D5" w:rsidRDefault="00C0196F" w:rsidP="00C0196F">
      <w:pPr>
        <w:spacing w:line="276" w:lineRule="auto"/>
        <w:rPr>
          <w:rFonts w:ascii="Times New Roman" w:hAnsi="Times New Roman" w:cs="Times New Roman"/>
          <w:b/>
        </w:rPr>
      </w:pPr>
    </w:p>
    <w:p w:rsidR="00C0196F" w:rsidRPr="007340D5" w:rsidRDefault="00C0196F" w:rsidP="00C0196F">
      <w:pPr>
        <w:spacing w:line="276" w:lineRule="auto"/>
        <w:rPr>
          <w:rFonts w:ascii="Times New Roman" w:hAnsi="Times New Roman" w:cs="Times New Roman"/>
        </w:rPr>
      </w:pPr>
    </w:p>
    <w:p w:rsidR="00CB6828" w:rsidRPr="007340D5" w:rsidRDefault="00CB6828" w:rsidP="00CB6828">
      <w:pPr>
        <w:spacing w:line="276" w:lineRule="auto"/>
        <w:rPr>
          <w:rFonts w:ascii="Times New Roman" w:hAnsi="Times New Roman" w:cs="Times New Roman"/>
          <w:b/>
        </w:rPr>
      </w:pPr>
    </w:p>
    <w:p w:rsidR="00CB6828" w:rsidRPr="007340D5" w:rsidRDefault="00CB6828" w:rsidP="00CB6828">
      <w:pPr>
        <w:spacing w:line="276" w:lineRule="auto"/>
        <w:rPr>
          <w:rFonts w:ascii="Times New Roman" w:hAnsi="Times New Roman" w:cs="Times New Roman"/>
          <w:b/>
        </w:rPr>
      </w:pPr>
    </w:p>
    <w:p w:rsidR="00CB6828" w:rsidRDefault="00CB6828" w:rsidP="00CB6828">
      <w:pPr>
        <w:spacing w:line="276" w:lineRule="auto"/>
        <w:rPr>
          <w:rFonts w:ascii="Times New Roman" w:hAnsi="Times New Roman" w:cs="Times New Roman"/>
          <w:b/>
        </w:rPr>
      </w:pPr>
    </w:p>
    <w:p w:rsidR="00F261EF" w:rsidRDefault="00F261EF" w:rsidP="00CB6828">
      <w:pPr>
        <w:spacing w:line="276" w:lineRule="auto"/>
        <w:rPr>
          <w:rFonts w:ascii="Times New Roman" w:hAnsi="Times New Roman" w:cs="Times New Roman"/>
          <w:b/>
        </w:rPr>
      </w:pPr>
    </w:p>
    <w:p w:rsidR="00F261EF" w:rsidRPr="007340D5" w:rsidRDefault="00F261EF" w:rsidP="00CB6828">
      <w:pPr>
        <w:spacing w:line="276" w:lineRule="auto"/>
        <w:rPr>
          <w:rFonts w:ascii="Times New Roman" w:hAnsi="Times New Roman" w:cs="Times New Roman"/>
          <w:b/>
        </w:rPr>
      </w:pPr>
    </w:p>
    <w:p w:rsidR="00CB6828" w:rsidRPr="007340D5" w:rsidRDefault="00CB6828" w:rsidP="00CB6828">
      <w:pPr>
        <w:spacing w:line="276" w:lineRule="auto"/>
        <w:rPr>
          <w:rFonts w:ascii="Times New Roman" w:hAnsi="Times New Roman" w:cs="Times New Roman"/>
          <w:b/>
        </w:rPr>
      </w:pPr>
    </w:p>
    <w:p w:rsidR="00CB6828" w:rsidRPr="007340D5" w:rsidRDefault="00CB6828" w:rsidP="00CB6828">
      <w:pPr>
        <w:spacing w:line="276" w:lineRule="auto"/>
        <w:rPr>
          <w:rFonts w:ascii="Times New Roman" w:hAnsi="Times New Roman" w:cs="Times New Roman"/>
          <w:b/>
        </w:rPr>
      </w:pPr>
    </w:p>
    <w:p w:rsidR="0042021C" w:rsidRPr="007340D5" w:rsidRDefault="0042021C" w:rsidP="0042021C">
      <w:pPr>
        <w:rPr>
          <w:rFonts w:ascii="Times New Roman" w:hAnsi="Times New Roman" w:cs="Times New Roman"/>
          <w:b/>
        </w:rPr>
      </w:pPr>
      <w:r w:rsidRPr="007340D5">
        <w:rPr>
          <w:rFonts w:ascii="Times New Roman" w:hAnsi="Times New Roman" w:cs="Times New Roman"/>
          <w:b/>
        </w:rPr>
        <w:lastRenderedPageBreak/>
        <w:t>Supplemental Table 2</w:t>
      </w:r>
      <w:r w:rsidR="00F261EF">
        <w:rPr>
          <w:rFonts w:ascii="Times New Roman" w:hAnsi="Times New Roman" w:cs="Times New Roman"/>
          <w:b/>
        </w:rPr>
        <w:t>:</w:t>
      </w:r>
      <w:r w:rsidRPr="007340D5">
        <w:rPr>
          <w:rFonts w:ascii="Times New Roman" w:hAnsi="Times New Roman" w:cs="Times New Roman"/>
          <w:b/>
        </w:rPr>
        <w:t xml:space="preserve"> </w:t>
      </w:r>
      <w:proofErr w:type="spellStart"/>
      <w:r w:rsidR="00F261EF">
        <w:rPr>
          <w:rFonts w:ascii="Times New Roman" w:hAnsi="Times New Roman" w:cs="Times New Roman"/>
          <w:b/>
        </w:rPr>
        <w:t>Charlson</w:t>
      </w:r>
      <w:proofErr w:type="spellEnd"/>
      <w:r w:rsidR="00F261EF">
        <w:rPr>
          <w:rFonts w:ascii="Times New Roman" w:hAnsi="Times New Roman" w:cs="Times New Roman"/>
          <w:b/>
        </w:rPr>
        <w:t xml:space="preserve"> comorbidity index</w:t>
      </w:r>
      <w:r w:rsidRPr="007340D5">
        <w:rPr>
          <w:rFonts w:ascii="Times New Roman" w:hAnsi="Times New Roman" w:cs="Times New Roman"/>
          <w:b/>
        </w:rPr>
        <w:t xml:space="preserve"> and comorbidity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  <w:b/>
                <w:bCs/>
              </w:rPr>
            </w:pPr>
            <w:r w:rsidRPr="007340D5">
              <w:rPr>
                <w:rFonts w:ascii="Times New Roman" w:hAnsi="Times New Roman" w:cs="Times New Roman"/>
                <w:b/>
                <w:bCs/>
              </w:rPr>
              <w:t>Covariate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  <w:b/>
                <w:bCs/>
              </w:rPr>
            </w:pPr>
            <w:r w:rsidRPr="007340D5">
              <w:rPr>
                <w:rFonts w:ascii="Times New Roman" w:hAnsi="Times New Roman" w:cs="Times New Roman"/>
                <w:b/>
                <w:bCs/>
              </w:rPr>
              <w:t>ICD-9 Codes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  <w:b/>
                <w:bCs/>
              </w:rPr>
            </w:pPr>
            <w:r w:rsidRPr="007340D5">
              <w:rPr>
                <w:rFonts w:ascii="Times New Roman" w:hAnsi="Times New Roman" w:cs="Times New Roman"/>
                <w:b/>
                <w:bCs/>
              </w:rPr>
              <w:t>ICD-10 Codes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Myocardial infarction^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410.x, 412.x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I21.x, I22.x, I25.x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Congestive Heart Failure^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398,91, 402.01, 402.11, 402.91, 404.01, 404.03, 404.11, 404.13, 404.91, 404.93, 425.4-425.9, 428.x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I50.x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Peripheral vascular disease^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093.0, 437.3, 440.x, 441.x, 443.1-443.9, 447.1557.1, 557.9, V43.4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I71.x, I79.0, I73.9, Z95.8, Z95.9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Cerebrovascular disease^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362.34, 430.x-438.x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I60.x-I66.x, G45.0-G45.2, G45.4-G45.9, I67.0-I67.2, I67.4-I67.9, I68.1, I68.2, I68.8, I69.x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Dementia^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290.x, 294.1, 331.2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F01.x, F02.x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Chronic pulmonary disease^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416.8, 416.9, 490.x-505.x, 506.4, 508.1, 508.8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J40.x-J47.x, J60.x-J66.x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Rheumatic disease^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446.5, 710.0-701.4, 714.0-714.2, 714.8, 725.x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M05.0x-M05.3x, M05.8, M05.9, M06.0x, M06.3x, M06.9, M32.x, M33.2x, M34.x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Peptic ulcer disease^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531.x-534.x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K25.x-K28.x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Mild liver disease^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070.22, 070.23, 070.32, 070.33, 070.44, 070.54, 070.6, 070.9, 570.x, 571.x, 573.3, 573.4, 573.8, 573.9, V42.7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K70.2, K70.3, K73, K74.0, K74.2, K74.3, K74.4, K74.5, K74.6x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Diabetes without chronic complication^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250.0-250.3, 250.8, 250.9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E10.1x, E10.5x, E10.9, E11.5x, E11.9, E13.1x, E13.5x, E13.9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Diabetes with chronic complication^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250.4-250.7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E10.2x-E10.4x, E11.2x-E11.4x, E13.2x-E13.4x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Hemiplegia, paraplegia^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334.1, 342.x, 343.x, 344.0-344.6, 344.9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G04.1, G81.x, G82.x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Renal disease^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403.01, 403.11, 403.91, 404.02, 404.03, 404.12, 404.13, 404.92, 404.93, 582.x, 583.0-583.7, 585.x, 586.x, 588.0, V42.0, V45.1, V56.x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N01.x, N03.x, N05.2-N05.6, N07.2-N07.4, N18.x, N19, N25.x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lastRenderedPageBreak/>
              <w:t>Any malignancy (except malignant neoplasm of skin)^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140.x-172.x, 174.x-195.8, 200.x-208.x, 238.6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C0x.x-C76.x, C80.x-C85.x, C88.3, C88.9, C90.0x, C90.1x, C91.x-C93.x, C94.0x, C94.2x, C94.3x, C95.x, C96.x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Moderate or severe liver disease^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456.0-456.2, 572.2-572.8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K72.1x, K72.9x, K76.6, K76.7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Metastatic solid tumor^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196.x-199.x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C77.x-C80.x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AIDS/HIV^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042.x-044.x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B20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Retinopathy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250.5x, 362.0x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E10.31x, E103.6, E103.7x, E11.3x, E11.329x, E11.339x, E11.349x, E11.359x, E11.36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Nephropathy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250.4x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E10.21, E10.29, E11.21, E11.29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Neuropathy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250.6x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E10.40, E11.40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Hyperlipidemia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272.0-272.4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E78.00, E78.01, E78.1, E78.2, E78.3, E78.4, E78.5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Atherosclerosis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411.x-414.x, 433.x, 435.x, 437.0, 440.x, 441.x, 785.9, V12.54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G45.0, I20.x, I24.0, I24.1, I24.8, I25.10, I25.2-I25.5, I25.82-I25.89, I25.9, I65.09, I65.1, I65.29, I65.8, I65.9, I67.2, I70.0, I70.1, I70.209, I70.2190, I70.229, I70.25, I70.269, I70.90, I70.91, I71.0x, I71.2, I71.4, I71.6, I71.9, R09.89, Z86.73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Myocardial infarction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410.x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I21.09-I21.A9</w:t>
            </w:r>
          </w:p>
        </w:tc>
      </w:tr>
      <w:tr w:rsidR="007340D5" w:rsidRPr="007340D5" w:rsidTr="001849F9">
        <w:tc>
          <w:tcPr>
            <w:tcW w:w="3116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Chronic kidney disease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250.4x, 274.10, 403.x404.x, 440.1, 442.1, 572.4, 580.x-587, 593.x, 753.0, 753.3, 791.2, 791.3, 866.x</w:t>
            </w:r>
          </w:p>
        </w:tc>
        <w:tc>
          <w:tcPr>
            <w:tcW w:w="3117" w:type="dxa"/>
          </w:tcPr>
          <w:p w:rsidR="0042021C" w:rsidRPr="007340D5" w:rsidRDefault="0042021C" w:rsidP="001849F9">
            <w:pPr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E10.29, E11.29, I12.9, I13.x, K76.7, M103.0, N00.3, N00.9, N01.3, N02.2, N03.2, N03.3, N03.5, N03.8, N03.9, N04.0, N04.3, N04.4, N04.8, N04.9, N05.2, N05.5, N05.9, N08, N13.70-N13.72x, N18.1-N18.6, N19, N26.9, N28.1, N28.81, N28.82, R80.2, R82.1, R82.3</w:t>
            </w:r>
          </w:p>
        </w:tc>
      </w:tr>
    </w:tbl>
    <w:p w:rsidR="00A36CF5" w:rsidRPr="007340D5" w:rsidRDefault="00A36CF5">
      <w:pPr>
        <w:rPr>
          <w:rFonts w:ascii="Times New Roman" w:hAnsi="Times New Roman" w:cs="Times New Roman"/>
        </w:rPr>
      </w:pPr>
    </w:p>
    <w:p w:rsidR="0042021C" w:rsidRPr="007340D5" w:rsidRDefault="0042021C">
      <w:pPr>
        <w:rPr>
          <w:rFonts w:ascii="Times New Roman" w:hAnsi="Times New Roman" w:cs="Times New Roman"/>
        </w:rPr>
      </w:pPr>
    </w:p>
    <w:p w:rsidR="0042021C" w:rsidRDefault="0042021C">
      <w:pPr>
        <w:rPr>
          <w:rFonts w:ascii="Times New Roman" w:hAnsi="Times New Roman" w:cs="Times New Roman"/>
        </w:rPr>
      </w:pPr>
    </w:p>
    <w:p w:rsidR="00F261EF" w:rsidRDefault="00F261EF">
      <w:pPr>
        <w:rPr>
          <w:rFonts w:ascii="Times New Roman" w:hAnsi="Times New Roman" w:cs="Times New Roman"/>
          <w:b/>
        </w:rPr>
      </w:pPr>
    </w:p>
    <w:p w:rsidR="0042021C" w:rsidRPr="007340D5" w:rsidRDefault="0042021C">
      <w:pPr>
        <w:rPr>
          <w:rFonts w:ascii="Times New Roman" w:hAnsi="Times New Roman" w:cs="Times New Roman"/>
          <w:b/>
        </w:rPr>
      </w:pPr>
      <w:r w:rsidRPr="007340D5">
        <w:rPr>
          <w:rFonts w:ascii="Times New Roman" w:hAnsi="Times New Roman" w:cs="Times New Roman"/>
          <w:b/>
        </w:rPr>
        <w:lastRenderedPageBreak/>
        <w:t>Supplementary Table 3</w:t>
      </w:r>
      <w:r w:rsidR="00F261EF">
        <w:rPr>
          <w:rFonts w:ascii="Times New Roman" w:hAnsi="Times New Roman" w:cs="Times New Roman"/>
          <w:b/>
        </w:rPr>
        <w:t>:</w:t>
      </w:r>
      <w:r w:rsidRPr="007340D5">
        <w:rPr>
          <w:rFonts w:ascii="Times New Roman" w:hAnsi="Times New Roman" w:cs="Times New Roman"/>
          <w:b/>
        </w:rPr>
        <w:t xml:space="preserve"> Treatment discontinuation among patients reaching the coverage gap and those that did not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664"/>
        <w:gridCol w:w="1710"/>
        <w:gridCol w:w="1710"/>
        <w:gridCol w:w="1710"/>
      </w:tblGrid>
      <w:tr w:rsidR="007340D5" w:rsidRPr="007340D5" w:rsidTr="0042021C">
        <w:trPr>
          <w:cantSplit/>
          <w:tblHeader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42021C" w:rsidRPr="00F261EF" w:rsidRDefault="0042021C" w:rsidP="001849F9">
            <w:pPr>
              <w:keepNext/>
              <w:adjustRightInd w:val="0"/>
              <w:spacing w:before="115" w:after="115"/>
              <w:jc w:val="center"/>
              <w:rPr>
                <w:rFonts w:ascii="Times New Roman" w:hAnsi="Times New Roman" w:cs="Times New Roman"/>
                <w:b/>
              </w:rPr>
            </w:pPr>
            <w:r w:rsidRPr="00F261EF">
              <w:rPr>
                <w:rFonts w:ascii="Times New Roman" w:hAnsi="Times New Roman" w:cs="Times New Roman"/>
                <w:b/>
              </w:rPr>
              <w:t>Discontinued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42021C" w:rsidRPr="00F261EF" w:rsidRDefault="0042021C" w:rsidP="001849F9">
            <w:pPr>
              <w:keepNext/>
              <w:adjustRightInd w:val="0"/>
              <w:spacing w:before="115" w:after="115"/>
              <w:jc w:val="center"/>
              <w:rPr>
                <w:rFonts w:ascii="Times New Roman" w:hAnsi="Times New Roman" w:cs="Times New Roman"/>
                <w:b/>
              </w:rPr>
            </w:pPr>
            <w:r w:rsidRPr="00F261EF">
              <w:rPr>
                <w:rFonts w:ascii="Times New Roman" w:hAnsi="Times New Roman" w:cs="Times New Roman"/>
                <w:b/>
              </w:rPr>
              <w:t>DPP-4i: Subsidized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42021C" w:rsidRPr="00F261EF" w:rsidRDefault="0042021C" w:rsidP="001849F9">
            <w:pPr>
              <w:keepNext/>
              <w:adjustRightInd w:val="0"/>
              <w:spacing w:before="115" w:after="115"/>
              <w:jc w:val="center"/>
              <w:rPr>
                <w:rFonts w:ascii="Times New Roman" w:hAnsi="Times New Roman" w:cs="Times New Roman"/>
                <w:b/>
              </w:rPr>
            </w:pPr>
            <w:r w:rsidRPr="00F261EF">
              <w:rPr>
                <w:rFonts w:ascii="Times New Roman" w:hAnsi="Times New Roman" w:cs="Times New Roman"/>
                <w:b/>
              </w:rPr>
              <w:t>DPP-4i: Non-subsidized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42021C" w:rsidRPr="00F261EF" w:rsidRDefault="0042021C" w:rsidP="001849F9">
            <w:pPr>
              <w:keepNext/>
              <w:adjustRightInd w:val="0"/>
              <w:spacing w:before="115" w:after="115"/>
              <w:jc w:val="center"/>
              <w:rPr>
                <w:rFonts w:ascii="Times New Roman" w:hAnsi="Times New Roman" w:cs="Times New Roman"/>
                <w:b/>
              </w:rPr>
            </w:pPr>
            <w:r w:rsidRPr="00F261EF">
              <w:rPr>
                <w:rFonts w:ascii="Times New Roman" w:hAnsi="Times New Roman" w:cs="Times New Roman"/>
                <w:b/>
              </w:rPr>
              <w:t>Sulfonylureas: Subsidized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:rsidR="0042021C" w:rsidRPr="00F261EF" w:rsidRDefault="0042021C" w:rsidP="001849F9">
            <w:pPr>
              <w:keepNext/>
              <w:adjustRightInd w:val="0"/>
              <w:spacing w:before="115" w:after="115"/>
              <w:jc w:val="center"/>
              <w:rPr>
                <w:rFonts w:ascii="Times New Roman" w:hAnsi="Times New Roman" w:cs="Times New Roman"/>
                <w:b/>
              </w:rPr>
            </w:pPr>
            <w:r w:rsidRPr="00F261EF">
              <w:rPr>
                <w:rFonts w:ascii="Times New Roman" w:hAnsi="Times New Roman" w:cs="Times New Roman"/>
                <w:b/>
              </w:rPr>
              <w:t>Sulfonylureas: Non- subsidized</w:t>
            </w:r>
          </w:p>
        </w:tc>
      </w:tr>
      <w:tr w:rsidR="007340D5" w:rsidRPr="007340D5" w:rsidTr="0042021C">
        <w:trPr>
          <w:cantSplit/>
          <w:jc w:val="center"/>
        </w:trPr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2015: Pre Coverage gap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874 (11.7%)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1,274 (12.2%)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1,075 (10.8%)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938 (7.3%)</w:t>
            </w:r>
          </w:p>
        </w:tc>
      </w:tr>
      <w:tr w:rsidR="007340D5" w:rsidRPr="007340D5" w:rsidTr="0042021C">
        <w:trPr>
          <w:cantSplit/>
          <w:jc w:val="center"/>
        </w:trPr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2015 (No Coverage gap)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1,009 (13.5%)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2,535 (24.2%)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2,372 (23.9%)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4,402 (34.3%)</w:t>
            </w:r>
          </w:p>
        </w:tc>
      </w:tr>
      <w:tr w:rsidR="007340D5" w:rsidRPr="007340D5" w:rsidTr="0042021C">
        <w:trPr>
          <w:cantSplit/>
          <w:jc w:val="center"/>
        </w:trPr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2015: After entering the Coverage gap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1,889 (25.3%)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2,216 (21.2%)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1,975 (19.9%)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1,268 (9.9%)</w:t>
            </w:r>
          </w:p>
        </w:tc>
      </w:tr>
      <w:tr w:rsidR="007340D5" w:rsidRPr="007340D5" w:rsidTr="0042021C">
        <w:trPr>
          <w:cantSplit/>
          <w:jc w:val="center"/>
        </w:trPr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2016: Pre Coverage gap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1,445 (19.4%)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1,463 (14.0%)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1,433 (14.4%)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1,379 (10.7%)</w:t>
            </w:r>
          </w:p>
        </w:tc>
      </w:tr>
      <w:tr w:rsidR="007340D5" w:rsidRPr="007340D5" w:rsidTr="0042021C">
        <w:trPr>
          <w:cantSplit/>
          <w:jc w:val="center"/>
        </w:trPr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keepNext/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2016 (No Coverage gap)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keepNext/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861 (11.5%)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keepNext/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1,855 (17.7%)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keepNext/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2,033 (20.4%)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keepNext/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4,257 (33.2%)</w:t>
            </w:r>
          </w:p>
        </w:tc>
      </w:tr>
      <w:tr w:rsidR="007340D5" w:rsidRPr="007340D5" w:rsidTr="0042021C">
        <w:trPr>
          <w:cantSplit/>
          <w:jc w:val="center"/>
        </w:trPr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2016: After entering the Coverage gap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1,384 (18.5%)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1,113 (10.6%)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1,056 (10.6%)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42021C" w:rsidRPr="007340D5" w:rsidRDefault="0042021C" w:rsidP="001849F9">
            <w:pPr>
              <w:adjustRightInd w:val="0"/>
              <w:spacing w:before="115" w:after="115"/>
              <w:rPr>
                <w:rFonts w:ascii="Times New Roman" w:hAnsi="Times New Roman" w:cs="Times New Roman"/>
              </w:rPr>
            </w:pPr>
            <w:r w:rsidRPr="007340D5">
              <w:rPr>
                <w:rFonts w:ascii="Times New Roman" w:hAnsi="Times New Roman" w:cs="Times New Roman"/>
              </w:rPr>
              <w:t>591 (4.6%)</w:t>
            </w:r>
          </w:p>
        </w:tc>
      </w:tr>
    </w:tbl>
    <w:p w:rsidR="0042021C" w:rsidRPr="007340D5" w:rsidRDefault="004202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021C" w:rsidRPr="007340D5" w:rsidSect="00A3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6"/>
    <w:rsid w:val="0016207C"/>
    <w:rsid w:val="002237E2"/>
    <w:rsid w:val="0042021C"/>
    <w:rsid w:val="004348F8"/>
    <w:rsid w:val="004F040F"/>
    <w:rsid w:val="00505D83"/>
    <w:rsid w:val="007340D5"/>
    <w:rsid w:val="007962F8"/>
    <w:rsid w:val="007C59A9"/>
    <w:rsid w:val="00A36CF5"/>
    <w:rsid w:val="00A87880"/>
    <w:rsid w:val="00B725BA"/>
    <w:rsid w:val="00C0196F"/>
    <w:rsid w:val="00C05672"/>
    <w:rsid w:val="00CA7381"/>
    <w:rsid w:val="00CB6828"/>
    <w:rsid w:val="00CF5B36"/>
    <w:rsid w:val="00D616A5"/>
    <w:rsid w:val="00EA0B55"/>
    <w:rsid w:val="00F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B6BE"/>
  <w15:chartTrackingRefBased/>
  <w15:docId w15:val="{76BE5917-B851-4CF9-97D7-B015611F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Mugdha Gokhale</dc:creator>
  <cp:keywords/>
  <dc:description/>
  <cp:lastModifiedBy>mugdha gokhale</cp:lastModifiedBy>
  <cp:revision>4</cp:revision>
  <dcterms:created xsi:type="dcterms:W3CDTF">2020-04-30T18:23:00Z</dcterms:created>
  <dcterms:modified xsi:type="dcterms:W3CDTF">2020-04-30T18:26:00Z</dcterms:modified>
</cp:coreProperties>
</file>