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8AEB" w14:textId="14B2A035" w:rsidR="005F2F50" w:rsidRPr="0095764A" w:rsidRDefault="000632CB" w:rsidP="005F2F50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bookmarkStart w:id="0" w:name="OLE_LINK2"/>
      <w:bookmarkStart w:id="1" w:name="OLE_LINK3"/>
      <w:r w:rsidRPr="000632CB">
        <w:rPr>
          <w:rFonts w:ascii="Arial" w:eastAsia="Calibri" w:hAnsi="Arial" w:cs="Arial"/>
          <w:b/>
          <w:sz w:val="20"/>
          <w:szCs w:val="20"/>
          <w:u w:val="single"/>
        </w:rPr>
        <w:t>Online-Only Supplementa</w:t>
      </w:r>
      <w:r w:rsidR="00F20B71">
        <w:rPr>
          <w:rFonts w:ascii="Arial" w:eastAsia="Calibri" w:hAnsi="Arial" w:cs="Arial"/>
          <w:b/>
          <w:sz w:val="20"/>
          <w:szCs w:val="20"/>
          <w:u w:val="single"/>
        </w:rPr>
        <w:t>ry</w:t>
      </w:r>
      <w:r w:rsidRPr="000632CB">
        <w:rPr>
          <w:rFonts w:ascii="Arial" w:eastAsia="Calibri" w:hAnsi="Arial" w:cs="Arial"/>
          <w:b/>
          <w:sz w:val="20"/>
          <w:szCs w:val="20"/>
          <w:u w:val="single"/>
        </w:rPr>
        <w:t xml:space="preserve"> Material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14:paraId="5898129D" w14:textId="77777777" w:rsidR="005F2F50" w:rsidRPr="0095764A" w:rsidRDefault="005F2F50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D0F088B" w14:textId="746D25FC" w:rsidR="005F2F50" w:rsidRPr="0095764A" w:rsidRDefault="00F20B71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Supplementary</w:t>
      </w:r>
      <w:r w:rsidR="000632CB" w:rsidRPr="000632CB">
        <w:rPr>
          <w:rFonts w:ascii="Arial" w:eastAsia="Calibri" w:hAnsi="Arial" w:cs="Arial"/>
          <w:sz w:val="20"/>
          <w:szCs w:val="20"/>
        </w:rPr>
        <w:t xml:space="preserve"> Table 1</w:t>
      </w:r>
      <w:r w:rsidR="005F2F50" w:rsidRPr="0095764A">
        <w:rPr>
          <w:rFonts w:ascii="Arial" w:eastAsia="Calibri" w:hAnsi="Arial" w:cs="Arial"/>
          <w:sz w:val="20"/>
          <w:szCs w:val="20"/>
        </w:rPr>
        <w:t xml:space="preserve">: Definitions of comorbid conditions and medications, on the basis of codes in </w:t>
      </w:r>
      <w:r w:rsidR="00840BB6" w:rsidRPr="0095764A">
        <w:rPr>
          <w:rFonts w:ascii="Arial" w:eastAsia="Calibri" w:hAnsi="Arial" w:cs="Arial"/>
          <w:sz w:val="20"/>
          <w:szCs w:val="20"/>
        </w:rPr>
        <w:t xml:space="preserve">720 </w:t>
      </w:r>
      <w:r w:rsidR="005F2F50" w:rsidRPr="0095764A">
        <w:rPr>
          <w:rFonts w:ascii="Arial" w:eastAsia="Calibri" w:hAnsi="Arial" w:cs="Arial"/>
          <w:sz w:val="20"/>
          <w:szCs w:val="20"/>
        </w:rPr>
        <w:t xml:space="preserve">days before </w:t>
      </w:r>
      <w:r w:rsidR="00AE7694" w:rsidRPr="0095764A">
        <w:rPr>
          <w:rFonts w:ascii="Arial" w:eastAsia="Calibri" w:hAnsi="Arial" w:cs="Arial"/>
          <w:sz w:val="20"/>
          <w:szCs w:val="20"/>
        </w:rPr>
        <w:t xml:space="preserve">reaching the reduced kidney function </w:t>
      </w:r>
      <w:r w:rsidR="005F2F50" w:rsidRPr="0095764A">
        <w:rPr>
          <w:rFonts w:ascii="Arial" w:eastAsia="Calibri" w:hAnsi="Arial" w:cs="Arial"/>
          <w:sz w:val="20"/>
          <w:szCs w:val="20"/>
        </w:rPr>
        <w:t xml:space="preserve">threshold and prescriptions in the 180 days before </w:t>
      </w:r>
      <w:r w:rsidR="00AE7694" w:rsidRPr="0095764A">
        <w:rPr>
          <w:rFonts w:ascii="Arial" w:eastAsia="Calibri" w:hAnsi="Arial" w:cs="Arial"/>
          <w:sz w:val="20"/>
          <w:szCs w:val="20"/>
        </w:rPr>
        <w:t>kidney</w:t>
      </w:r>
      <w:r w:rsidR="005F2F50" w:rsidRPr="0095764A">
        <w:rPr>
          <w:rFonts w:ascii="Arial" w:eastAsia="Calibri" w:hAnsi="Arial" w:cs="Arial"/>
          <w:sz w:val="20"/>
          <w:szCs w:val="20"/>
        </w:rPr>
        <w:t xml:space="preserve"> threshold </w:t>
      </w:r>
    </w:p>
    <w:p w14:paraId="24C7B1D6" w14:textId="77777777" w:rsidR="005F2F50" w:rsidRPr="0095764A" w:rsidRDefault="005F2F50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3853602" w14:textId="0E926F50" w:rsidR="00BF4FBB" w:rsidRPr="00752F7A" w:rsidRDefault="00F20B71" w:rsidP="005F2F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Supplementary</w:t>
      </w:r>
      <w:r w:rsidR="000632CB">
        <w:rPr>
          <w:rFonts w:ascii="Arial" w:eastAsia="Calibri" w:hAnsi="Arial" w:cs="Arial"/>
          <w:sz w:val="20"/>
          <w:szCs w:val="20"/>
        </w:rPr>
        <w:t xml:space="preserve"> </w:t>
      </w:r>
      <w:r w:rsidR="00BF4FBB" w:rsidRPr="00752F7A">
        <w:rPr>
          <w:rFonts w:ascii="Arial" w:eastAsia="Calibri" w:hAnsi="Arial" w:cs="Arial"/>
          <w:sz w:val="20"/>
          <w:szCs w:val="20"/>
        </w:rPr>
        <w:t xml:space="preserve">Description of Propensity Score Model and Weighting </w:t>
      </w:r>
    </w:p>
    <w:p w14:paraId="2B6FA46A" w14:textId="77777777" w:rsidR="00BF4FBB" w:rsidRDefault="00BF4FBB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BFE2374" w14:textId="1A5735F3" w:rsidR="005F2F50" w:rsidRPr="00BF4FBB" w:rsidRDefault="00F20B71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Supplementary</w:t>
      </w:r>
      <w:r w:rsidR="000632CB" w:rsidRPr="000632CB">
        <w:rPr>
          <w:rFonts w:ascii="Arial" w:eastAsia="Calibri" w:hAnsi="Arial" w:cs="Arial"/>
          <w:sz w:val="20"/>
          <w:szCs w:val="20"/>
        </w:rPr>
        <w:t xml:space="preserve"> Table </w:t>
      </w:r>
      <w:r w:rsidR="000632CB">
        <w:rPr>
          <w:rFonts w:ascii="Arial" w:eastAsia="Calibri" w:hAnsi="Arial" w:cs="Arial"/>
          <w:sz w:val="20"/>
          <w:szCs w:val="20"/>
        </w:rPr>
        <w:t>2</w:t>
      </w:r>
      <w:r w:rsidR="00BF4FBB" w:rsidRPr="00752F7A">
        <w:rPr>
          <w:rFonts w:ascii="Arial" w:eastAsia="Calibri" w:hAnsi="Arial" w:cs="Arial"/>
          <w:sz w:val="20"/>
          <w:szCs w:val="20"/>
        </w:rPr>
        <w:t>: Propensity score model’s Chi-Square and degrees of freedom for each covariate</w:t>
      </w:r>
    </w:p>
    <w:p w14:paraId="032A2FC5" w14:textId="04774694" w:rsidR="00174391" w:rsidRPr="0095764A" w:rsidRDefault="00174391" w:rsidP="0017439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486921" w14:textId="1EBD796E" w:rsidR="00174391" w:rsidRPr="0095764A" w:rsidRDefault="00F20B71" w:rsidP="0017439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Supplementary</w:t>
      </w:r>
      <w:r w:rsidR="000632CB" w:rsidRPr="000632CB">
        <w:rPr>
          <w:rFonts w:ascii="Arial" w:eastAsia="Calibri" w:hAnsi="Arial" w:cs="Arial"/>
          <w:sz w:val="20"/>
          <w:szCs w:val="20"/>
        </w:rPr>
        <w:t xml:space="preserve"> Table </w:t>
      </w:r>
      <w:r w:rsidR="000632CB">
        <w:rPr>
          <w:rFonts w:ascii="Arial" w:eastAsia="Calibri" w:hAnsi="Arial" w:cs="Arial"/>
          <w:sz w:val="20"/>
          <w:szCs w:val="20"/>
        </w:rPr>
        <w:t>3</w:t>
      </w:r>
      <w:r w:rsidR="00174391" w:rsidRPr="0095764A">
        <w:rPr>
          <w:rFonts w:ascii="Arial" w:eastAsia="Calibri" w:hAnsi="Arial" w:cs="Arial"/>
          <w:sz w:val="20"/>
          <w:szCs w:val="20"/>
        </w:rPr>
        <w:t xml:space="preserve">: Risk of </w:t>
      </w:r>
      <w:r w:rsidR="00996E7E" w:rsidRPr="0095764A">
        <w:rPr>
          <w:rFonts w:ascii="Arial" w:eastAsia="Calibri" w:hAnsi="Arial" w:cs="Arial"/>
          <w:sz w:val="20"/>
          <w:szCs w:val="20"/>
        </w:rPr>
        <w:t>lactic acidosis events</w:t>
      </w:r>
      <w:r w:rsidR="00174391" w:rsidRPr="0095764A">
        <w:rPr>
          <w:rFonts w:ascii="Arial" w:eastAsia="Calibri" w:hAnsi="Arial" w:cs="Arial"/>
          <w:sz w:val="20"/>
          <w:szCs w:val="20"/>
        </w:rPr>
        <w:t xml:space="preserve"> in subgroups stratified by history of age, race and estimated glomerular filtration rate at time of reaching </w:t>
      </w:r>
      <w:r w:rsidR="00AE7694" w:rsidRPr="0095764A">
        <w:rPr>
          <w:rFonts w:ascii="Arial" w:eastAsia="Calibri" w:hAnsi="Arial" w:cs="Arial"/>
          <w:sz w:val="20"/>
          <w:szCs w:val="20"/>
        </w:rPr>
        <w:t>kidney</w:t>
      </w:r>
      <w:r w:rsidR="00174391" w:rsidRPr="0095764A">
        <w:rPr>
          <w:rFonts w:ascii="Arial" w:eastAsia="Calibri" w:hAnsi="Arial" w:cs="Arial"/>
          <w:sz w:val="20"/>
          <w:szCs w:val="20"/>
        </w:rPr>
        <w:t xml:space="preserve"> threshold</w:t>
      </w:r>
    </w:p>
    <w:p w14:paraId="21670D56" w14:textId="097756D7" w:rsidR="00C11332" w:rsidRPr="0095764A" w:rsidRDefault="00C11332" w:rsidP="0017439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FA2E244" w14:textId="3B174766" w:rsidR="005F2F50" w:rsidRPr="0095764A" w:rsidRDefault="005F2F50" w:rsidP="00AE76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4A9FB9C" w14:textId="65E835BE" w:rsidR="005F2F50" w:rsidRPr="0095764A" w:rsidRDefault="00F20B71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Supplementary</w:t>
      </w:r>
      <w:r w:rsidR="000632CB">
        <w:rPr>
          <w:rFonts w:ascii="Arial" w:eastAsia="Calibri" w:hAnsi="Arial" w:cs="Arial"/>
          <w:sz w:val="20"/>
          <w:szCs w:val="20"/>
        </w:rPr>
        <w:t xml:space="preserve"> </w:t>
      </w:r>
      <w:r w:rsidR="005F2F50" w:rsidRPr="0095764A">
        <w:rPr>
          <w:rFonts w:ascii="Arial" w:eastAsia="Calibri" w:hAnsi="Arial" w:cs="Arial"/>
          <w:sz w:val="20"/>
          <w:szCs w:val="20"/>
        </w:rPr>
        <w:t xml:space="preserve">Figure </w:t>
      </w:r>
      <w:r>
        <w:rPr>
          <w:rFonts w:ascii="Arial" w:eastAsia="Calibri" w:hAnsi="Arial" w:cs="Arial"/>
          <w:sz w:val="20"/>
          <w:szCs w:val="20"/>
        </w:rPr>
        <w:t>1</w:t>
      </w:r>
      <w:r w:rsidR="005F2F50" w:rsidRPr="0095764A">
        <w:rPr>
          <w:rFonts w:ascii="Arial" w:eastAsia="Calibri" w:hAnsi="Arial" w:cs="Arial"/>
          <w:sz w:val="20"/>
          <w:szCs w:val="20"/>
        </w:rPr>
        <w:t xml:space="preserve">: Study Design Schematic </w:t>
      </w:r>
      <w:r w:rsidR="005F2F50" w:rsidRPr="0095764A">
        <w:rPr>
          <w:rFonts w:ascii="Arial" w:eastAsia="Calibri" w:hAnsi="Arial" w:cs="Arial"/>
          <w:sz w:val="20"/>
          <w:szCs w:val="20"/>
        </w:rPr>
        <w:tab/>
      </w:r>
    </w:p>
    <w:p w14:paraId="38269233" w14:textId="77777777" w:rsidR="005F2F50" w:rsidRPr="0095764A" w:rsidRDefault="005F2F50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AC37230" w14:textId="1862B07D" w:rsidR="005F2F50" w:rsidRPr="0095764A" w:rsidRDefault="00F20B71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Supplementary</w:t>
      </w:r>
      <w:r w:rsidR="000632CB">
        <w:rPr>
          <w:rFonts w:ascii="Arial" w:eastAsia="Calibri" w:hAnsi="Arial" w:cs="Arial"/>
          <w:sz w:val="20"/>
          <w:szCs w:val="20"/>
        </w:rPr>
        <w:t xml:space="preserve"> Figure </w:t>
      </w:r>
      <w:r>
        <w:rPr>
          <w:rFonts w:ascii="Arial" w:eastAsia="Calibri" w:hAnsi="Arial" w:cs="Arial"/>
          <w:sz w:val="20"/>
          <w:szCs w:val="20"/>
        </w:rPr>
        <w:t>2</w:t>
      </w:r>
      <w:r w:rsidR="005F2F50" w:rsidRPr="0095764A">
        <w:rPr>
          <w:rFonts w:ascii="Arial" w:eastAsia="Calibri" w:hAnsi="Arial" w:cs="Arial"/>
          <w:sz w:val="20"/>
          <w:szCs w:val="20"/>
        </w:rPr>
        <w:t>: Distribution of propensity scores by drug</w:t>
      </w:r>
    </w:p>
    <w:p w14:paraId="77007619" w14:textId="77777777" w:rsidR="00E570A1" w:rsidRPr="0095764A" w:rsidRDefault="00E570A1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7BF950A" w14:textId="1D19658F" w:rsidR="00E570A1" w:rsidRPr="0095764A" w:rsidRDefault="00F20B71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Supplementary</w:t>
      </w:r>
      <w:r w:rsidR="000632CB" w:rsidRPr="000632CB">
        <w:rPr>
          <w:rFonts w:ascii="Arial" w:eastAsia="Calibri" w:hAnsi="Arial" w:cs="Arial"/>
          <w:sz w:val="20"/>
          <w:szCs w:val="20"/>
        </w:rPr>
        <w:t xml:space="preserve"> Figure </w:t>
      </w:r>
      <w:r>
        <w:rPr>
          <w:rFonts w:ascii="Arial" w:eastAsia="Calibri" w:hAnsi="Arial" w:cs="Arial"/>
          <w:sz w:val="20"/>
          <w:szCs w:val="20"/>
        </w:rPr>
        <w:t>3</w:t>
      </w:r>
      <w:r w:rsidR="00E570A1" w:rsidRPr="0095764A">
        <w:rPr>
          <w:rFonts w:ascii="Arial" w:eastAsia="Calibri" w:hAnsi="Arial" w:cs="Arial"/>
          <w:sz w:val="20"/>
          <w:szCs w:val="20"/>
        </w:rPr>
        <w:t xml:space="preserve">: </w:t>
      </w:r>
      <w:r w:rsidR="00E570A1" w:rsidRPr="0095764A">
        <w:rPr>
          <w:rFonts w:ascii="Arial" w:hAnsi="Arial" w:cs="Arial"/>
          <w:sz w:val="20"/>
          <w:szCs w:val="20"/>
        </w:rPr>
        <w:t xml:space="preserve"> Mean standardized differences comparing metformin versus sulfonylurea </w:t>
      </w:r>
      <w:r w:rsidR="00E570A1" w:rsidRPr="0095764A">
        <w:rPr>
          <w:rFonts w:ascii="Arial" w:eastAsia="Calibri" w:hAnsi="Arial" w:cs="Arial"/>
          <w:sz w:val="20"/>
          <w:szCs w:val="20"/>
        </w:rPr>
        <w:t>before and after weighting the cohort</w:t>
      </w:r>
    </w:p>
    <w:p w14:paraId="16394583" w14:textId="2E2C6624" w:rsidR="00424B56" w:rsidRPr="0095764A" w:rsidRDefault="00424B56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E49CB88" w14:textId="7259D0A0" w:rsidR="00424B56" w:rsidRPr="0095764A" w:rsidRDefault="00F20B71" w:rsidP="003B2B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Supplementary</w:t>
      </w:r>
      <w:r w:rsidR="000632CB" w:rsidRPr="000632CB">
        <w:rPr>
          <w:rFonts w:ascii="Arial" w:eastAsia="Calibri" w:hAnsi="Arial" w:cs="Arial"/>
          <w:sz w:val="20"/>
          <w:szCs w:val="20"/>
        </w:rPr>
        <w:t xml:space="preserve"> Figure </w:t>
      </w:r>
      <w:r>
        <w:rPr>
          <w:rFonts w:ascii="Arial" w:eastAsia="Calibri" w:hAnsi="Arial" w:cs="Arial"/>
          <w:sz w:val="20"/>
          <w:szCs w:val="20"/>
        </w:rPr>
        <w:t>4</w:t>
      </w:r>
      <w:r w:rsidR="00424B56" w:rsidRPr="0095764A">
        <w:rPr>
          <w:rFonts w:ascii="Arial" w:eastAsia="Calibri" w:hAnsi="Arial" w:cs="Arial"/>
          <w:sz w:val="20"/>
          <w:szCs w:val="20"/>
        </w:rPr>
        <w:t xml:space="preserve">: Variance from the Propensity Score Model </w:t>
      </w:r>
    </w:p>
    <w:bookmarkEnd w:id="0"/>
    <w:bookmarkEnd w:id="1"/>
    <w:p w14:paraId="2521C398" w14:textId="77777777" w:rsidR="005F2F50" w:rsidRPr="0095764A" w:rsidRDefault="005F2F50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B59560B" w14:textId="77777777" w:rsidR="005F2F50" w:rsidRPr="0095764A" w:rsidRDefault="005F2F50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46A3D6" w14:textId="77777777" w:rsidR="005F2F50" w:rsidRPr="0095764A" w:rsidRDefault="005F2F50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A08194B" w14:textId="77777777" w:rsidR="005F2F50" w:rsidRPr="0095764A" w:rsidRDefault="005F2F50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3BF0FD7" w14:textId="77777777" w:rsidR="005F2F50" w:rsidRPr="0095764A" w:rsidRDefault="005F2F50" w:rsidP="005F2F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3CF6A6C" w14:textId="220567BB" w:rsidR="00CD358F" w:rsidRDefault="00CD358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13818E6C" w14:textId="7AA5745F" w:rsidR="00DD3056" w:rsidRPr="0095764A" w:rsidRDefault="00F20B71" w:rsidP="005F2F50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Supplementary</w:t>
      </w:r>
      <w:r w:rsidR="000632CB" w:rsidRPr="000632CB">
        <w:rPr>
          <w:rFonts w:ascii="Arial" w:eastAsia="Calibri" w:hAnsi="Arial" w:cs="Arial"/>
          <w:b/>
          <w:sz w:val="20"/>
          <w:szCs w:val="20"/>
        </w:rPr>
        <w:t xml:space="preserve"> </w:t>
      </w:r>
      <w:r w:rsidR="000632CB">
        <w:rPr>
          <w:rFonts w:ascii="Arial" w:eastAsia="Calibri" w:hAnsi="Arial" w:cs="Arial"/>
          <w:b/>
          <w:sz w:val="20"/>
          <w:szCs w:val="20"/>
        </w:rPr>
        <w:t xml:space="preserve">Table </w:t>
      </w:r>
      <w:r w:rsidR="00DD3056" w:rsidRPr="0095764A">
        <w:rPr>
          <w:rFonts w:ascii="Arial" w:eastAsia="Calibri" w:hAnsi="Arial" w:cs="Arial"/>
          <w:b/>
          <w:sz w:val="20"/>
          <w:szCs w:val="20"/>
        </w:rPr>
        <w:t>1: De</w:t>
      </w:r>
      <w:r w:rsidR="00FB0569" w:rsidRPr="0095764A">
        <w:rPr>
          <w:rFonts w:ascii="Arial" w:eastAsia="Calibri" w:hAnsi="Arial" w:cs="Arial"/>
          <w:b/>
          <w:sz w:val="20"/>
          <w:szCs w:val="20"/>
        </w:rPr>
        <w:t>finitions of comorbid conditions</w:t>
      </w:r>
      <w:r w:rsidR="00DD3056" w:rsidRPr="0095764A">
        <w:rPr>
          <w:rFonts w:ascii="Arial" w:eastAsia="Calibri" w:hAnsi="Arial" w:cs="Arial"/>
          <w:b/>
          <w:sz w:val="20"/>
          <w:szCs w:val="20"/>
        </w:rPr>
        <w:t xml:space="preserve"> </w:t>
      </w:r>
      <w:r w:rsidR="00055879" w:rsidRPr="0095764A">
        <w:rPr>
          <w:rFonts w:ascii="Arial" w:eastAsia="Calibri" w:hAnsi="Arial" w:cs="Arial"/>
          <w:b/>
          <w:sz w:val="20"/>
          <w:szCs w:val="20"/>
        </w:rPr>
        <w:t xml:space="preserve">based </w:t>
      </w:r>
      <w:r w:rsidR="00DD3056" w:rsidRPr="0095764A">
        <w:rPr>
          <w:rFonts w:ascii="Arial" w:eastAsia="Calibri" w:hAnsi="Arial" w:cs="Arial"/>
          <w:b/>
          <w:sz w:val="20"/>
          <w:szCs w:val="20"/>
        </w:rPr>
        <w:t xml:space="preserve">on codes in </w:t>
      </w:r>
      <w:r w:rsidR="00840BB6" w:rsidRPr="0095764A">
        <w:rPr>
          <w:rFonts w:ascii="Arial" w:eastAsia="Calibri" w:hAnsi="Arial" w:cs="Arial"/>
          <w:b/>
          <w:sz w:val="20"/>
          <w:szCs w:val="20"/>
        </w:rPr>
        <w:t xml:space="preserve">720 </w:t>
      </w:r>
      <w:r w:rsidR="00DD3056" w:rsidRPr="0095764A">
        <w:rPr>
          <w:rFonts w:ascii="Arial" w:eastAsia="Calibri" w:hAnsi="Arial" w:cs="Arial"/>
          <w:b/>
          <w:sz w:val="20"/>
          <w:szCs w:val="20"/>
        </w:rPr>
        <w:t xml:space="preserve">days before </w:t>
      </w:r>
      <w:r w:rsidR="002F4448" w:rsidRPr="0095764A">
        <w:rPr>
          <w:rFonts w:ascii="Arial" w:eastAsia="Calibri" w:hAnsi="Arial" w:cs="Arial"/>
          <w:b/>
          <w:sz w:val="20"/>
          <w:szCs w:val="20"/>
        </w:rPr>
        <w:t xml:space="preserve">reaching </w:t>
      </w:r>
      <w:r w:rsidR="00AE7694" w:rsidRPr="0095764A">
        <w:rPr>
          <w:rFonts w:ascii="Arial" w:eastAsia="Calibri" w:hAnsi="Arial" w:cs="Arial"/>
          <w:b/>
          <w:sz w:val="20"/>
          <w:szCs w:val="20"/>
        </w:rPr>
        <w:t>kidney</w:t>
      </w:r>
      <w:r w:rsidR="00FB0569" w:rsidRPr="0095764A">
        <w:rPr>
          <w:rFonts w:ascii="Arial" w:eastAsia="Calibri" w:hAnsi="Arial" w:cs="Arial"/>
          <w:b/>
          <w:sz w:val="20"/>
          <w:szCs w:val="20"/>
        </w:rPr>
        <w:t xml:space="preserve"> threshold; Definitions of medi</w:t>
      </w:r>
      <w:r w:rsidR="00F31314" w:rsidRPr="0095764A">
        <w:rPr>
          <w:rFonts w:ascii="Arial" w:eastAsia="Calibri" w:hAnsi="Arial" w:cs="Arial"/>
          <w:b/>
          <w:sz w:val="20"/>
          <w:szCs w:val="20"/>
        </w:rPr>
        <w:t>c</w:t>
      </w:r>
      <w:r w:rsidR="00FB0569" w:rsidRPr="0095764A">
        <w:rPr>
          <w:rFonts w:ascii="Arial" w:eastAsia="Calibri" w:hAnsi="Arial" w:cs="Arial"/>
          <w:b/>
          <w:sz w:val="20"/>
          <w:szCs w:val="20"/>
        </w:rPr>
        <w:t xml:space="preserve">ations used are restricted to prescription fill in the 180 days before reaching </w:t>
      </w:r>
      <w:r w:rsidR="00AE7694" w:rsidRPr="0095764A">
        <w:rPr>
          <w:rFonts w:ascii="Arial" w:eastAsia="Calibri" w:hAnsi="Arial" w:cs="Arial"/>
          <w:b/>
          <w:sz w:val="20"/>
          <w:szCs w:val="20"/>
        </w:rPr>
        <w:t>kidney</w:t>
      </w:r>
      <w:r w:rsidR="00FB0569" w:rsidRPr="0095764A">
        <w:rPr>
          <w:rFonts w:ascii="Arial" w:eastAsia="Calibri" w:hAnsi="Arial" w:cs="Arial"/>
          <w:b/>
          <w:sz w:val="20"/>
          <w:szCs w:val="20"/>
        </w:rPr>
        <w:t xml:space="preserve"> thresho</w:t>
      </w:r>
      <w:r w:rsidR="00F24F87" w:rsidRPr="0095764A">
        <w:rPr>
          <w:rFonts w:ascii="Arial" w:eastAsia="Calibri" w:hAnsi="Arial" w:cs="Arial"/>
          <w:b/>
          <w:sz w:val="20"/>
          <w:szCs w:val="20"/>
        </w:rPr>
        <w:t>aaaa</w:t>
      </w:r>
      <w:r w:rsidR="00FB0569" w:rsidRPr="0095764A">
        <w:rPr>
          <w:rFonts w:ascii="Arial" w:eastAsia="Calibri" w:hAnsi="Arial" w:cs="Arial"/>
          <w:b/>
          <w:sz w:val="20"/>
          <w:szCs w:val="20"/>
        </w:rPr>
        <w:t xml:space="preserve">ld </w:t>
      </w:r>
    </w:p>
    <w:tbl>
      <w:tblPr>
        <w:tblpPr w:leftFromText="180" w:rightFromText="180" w:vertAnchor="text" w:horzAnchor="margin" w:tblpXSpec="center" w:tblpY="39"/>
        <w:tblW w:w="5883" w:type="pct"/>
        <w:tblLook w:val="06A0" w:firstRow="1" w:lastRow="0" w:firstColumn="1" w:lastColumn="0" w:noHBand="1" w:noVBand="1"/>
      </w:tblPr>
      <w:tblGrid>
        <w:gridCol w:w="2227"/>
        <w:gridCol w:w="2544"/>
        <w:gridCol w:w="6242"/>
      </w:tblGrid>
      <w:tr w:rsidR="00DD3056" w:rsidRPr="0095764A" w14:paraId="2A2476C0" w14:textId="77777777" w:rsidTr="0031721E">
        <w:trPr>
          <w:trHeight w:val="70"/>
        </w:trPr>
        <w:tc>
          <w:tcPr>
            <w:tcW w:w="1011" w:type="pct"/>
            <w:tcBorders>
              <w:top w:val="single" w:sz="12" w:space="0" w:color="000000"/>
              <w:left w:val="nil"/>
            </w:tcBorders>
            <w:hideMark/>
          </w:tcPr>
          <w:p w14:paraId="6C418A64" w14:textId="77777777" w:rsidR="00DD3056" w:rsidRPr="0095764A" w:rsidRDefault="00DD3056" w:rsidP="00DD305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Covariate Condition </w:t>
            </w:r>
          </w:p>
        </w:tc>
        <w:tc>
          <w:tcPr>
            <w:tcW w:w="1155" w:type="pct"/>
            <w:tcBorders>
              <w:top w:val="single" w:sz="12" w:space="0" w:color="000000"/>
              <w:left w:val="nil"/>
              <w:right w:val="nil"/>
            </w:tcBorders>
            <w:hideMark/>
          </w:tcPr>
          <w:p w14:paraId="29671145" w14:textId="77777777" w:rsidR="00DD3056" w:rsidRPr="0095764A" w:rsidRDefault="00DD3056" w:rsidP="00DD305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Inclusive conditions </w:t>
            </w:r>
          </w:p>
        </w:tc>
        <w:tc>
          <w:tcPr>
            <w:tcW w:w="2834" w:type="pct"/>
            <w:tcBorders>
              <w:top w:val="single" w:sz="12" w:space="0" w:color="000000"/>
              <w:left w:val="nil"/>
              <w:right w:val="nil"/>
            </w:tcBorders>
            <w:hideMark/>
          </w:tcPr>
          <w:p w14:paraId="720E501E" w14:textId="77777777" w:rsidR="00DD3056" w:rsidRPr="0095764A" w:rsidRDefault="00DD3056" w:rsidP="00DD305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Definition*</w:t>
            </w: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</w:tr>
      <w:tr w:rsidR="00DD3056" w:rsidRPr="0095764A" w14:paraId="3B664638" w14:textId="77777777" w:rsidTr="0031721E">
        <w:trPr>
          <w:trHeight w:val="93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EC744C" w14:textId="77777777" w:rsidR="00DD3056" w:rsidRPr="0095764A" w:rsidRDefault="00DD3056" w:rsidP="00DD305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Malignancy 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366B91" w14:textId="77777777" w:rsidR="00DD3056" w:rsidRPr="0095764A" w:rsidRDefault="00DD3056" w:rsidP="00DD30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Cancer excluding non melanoma skin cancer 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C958FE" w14:textId="77777777" w:rsidR="00DD3056" w:rsidRPr="0095764A" w:rsidRDefault="00DD3056" w:rsidP="00DD30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codes:140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X-208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X (exclude 173) </w:t>
            </w:r>
          </w:p>
          <w:p w14:paraId="3A67CE68" w14:textId="77777777" w:rsidR="00DD3056" w:rsidRPr="0095764A" w:rsidRDefault="00DD3056" w:rsidP="00DD305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ICD10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diagnosis codes: 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C00* - C96*; D37* -D48*</w:t>
            </w:r>
          </w:p>
        </w:tc>
      </w:tr>
      <w:tr w:rsidR="00DD3056" w:rsidRPr="0095764A" w14:paraId="6A6F4474" w14:textId="77777777" w:rsidTr="0031721E">
        <w:trPr>
          <w:trHeight w:val="7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A0B566" w14:textId="77777777" w:rsidR="00DD3056" w:rsidRPr="0095764A" w:rsidRDefault="00DD3056" w:rsidP="00DD305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Liver failure 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BE8D6" w14:textId="77777777" w:rsidR="00DD3056" w:rsidRPr="0095764A" w:rsidRDefault="00DD3056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End stage liver disease 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05154" w14:textId="77777777" w:rsidR="00FB0569" w:rsidRPr="0095764A" w:rsidRDefault="00DD3056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570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X- 573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</w:t>
            </w:r>
          </w:p>
          <w:p w14:paraId="653CD975" w14:textId="77777777" w:rsidR="00DD3056" w:rsidRPr="0095764A" w:rsidRDefault="00FB0569" w:rsidP="00FB05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4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ICD10</w:t>
            </w:r>
            <w:r w:rsidRPr="009576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764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diagnosis codes: </w:t>
            </w:r>
            <w:r w:rsidRPr="0095764A">
              <w:rPr>
                <w:rFonts w:ascii="Arial" w:hAnsi="Arial" w:cs="Arial"/>
                <w:color w:val="000000"/>
                <w:sz w:val="20"/>
                <w:szCs w:val="20"/>
              </w:rPr>
              <w:t xml:space="preserve"> K72*; K70.*; K73.*; K74.*; K76.*</w:t>
            </w:r>
          </w:p>
        </w:tc>
      </w:tr>
      <w:tr w:rsidR="00FB0569" w:rsidRPr="0095764A" w14:paraId="06AE8E1B" w14:textId="77777777" w:rsidTr="0031721E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20602" w14:textId="77777777" w:rsidR="00FB0569" w:rsidRPr="0095764A" w:rsidRDefault="00AA74E9" w:rsidP="00FB056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Respiratory Failure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D5BD5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Respirato</w:t>
            </w:r>
            <w:r w:rsidR="00AA74E9" w:rsidRPr="0095764A">
              <w:rPr>
                <w:rFonts w:ascii="Arial" w:eastAsia="Calibri" w:hAnsi="Arial" w:cs="Arial"/>
                <w:sz w:val="20"/>
                <w:szCs w:val="20"/>
              </w:rPr>
              <w:t>ry failure/ Pulmonary Embolism/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Hypertension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8E3CD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518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81, 518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83, 518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84, 799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1, 415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416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</w:t>
            </w:r>
          </w:p>
          <w:p w14:paraId="23581F1E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ICD10 diagnosis codes:  J96.*; R092;  I26.9*; I27.*</w:t>
            </w:r>
          </w:p>
        </w:tc>
      </w:tr>
      <w:tr w:rsidR="00FB0569" w:rsidRPr="0095764A" w14:paraId="146CA7C5" w14:textId="77777777" w:rsidTr="0031721E">
        <w:trPr>
          <w:trHeight w:val="3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8E4ADE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Congestive Heart Failure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DB152A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CHF (excluding post procedure-CHF) 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C7E977" w14:textId="0F6EA2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 428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402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01, 402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11, 402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91, 404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01, 404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03, 404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11, 404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13, 404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91, 404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4D5DF1"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93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D5441CA" w14:textId="77777777" w:rsidR="00FB0569" w:rsidRPr="0095764A" w:rsidRDefault="00AA74E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ICD10 diagnosis codes: </w:t>
            </w:r>
            <w:r w:rsidR="00304E43"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I11.0, I13.0, I13.2, I50.9, I50.1, I50.20, I50.21, I50.22, I50.23, I50.30, I50.31, I50.32, I50.33, I50.40, I50.41, I50.42, I50.43</w:t>
            </w:r>
          </w:p>
        </w:tc>
      </w:tr>
      <w:tr w:rsidR="00FB0569" w:rsidRPr="0095764A" w14:paraId="52F0B877" w14:textId="77777777" w:rsidTr="0031721E">
        <w:trPr>
          <w:trHeight w:val="7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6CEBB0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Cardiovascular disease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A7E7B" w14:textId="77777777" w:rsidR="00FB0569" w:rsidRPr="0095764A" w:rsidRDefault="00FB0569" w:rsidP="00FB056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MI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F2E95B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</w:t>
            </w:r>
            <w:r w:rsidR="00401A27"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410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412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429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7X</w:t>
            </w:r>
          </w:p>
          <w:p w14:paraId="76EF3C7F" w14:textId="77777777" w:rsidR="00401A27" w:rsidRPr="0095764A" w:rsidRDefault="00304E43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ICD10 diagnosis codes:  I21*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0569" w:rsidRPr="0095764A" w14:paraId="094A78EA" w14:textId="77777777" w:rsidTr="0031721E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E18F75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980BA" w14:textId="77777777" w:rsidR="00FB0569" w:rsidRPr="0095764A" w:rsidRDefault="00FB0569" w:rsidP="00FB056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Obstructive coronary disease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DC37E9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</w:t>
            </w:r>
            <w:r w:rsidR="00401A27"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411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413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414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</w:t>
            </w:r>
          </w:p>
          <w:p w14:paraId="7C59C566" w14:textId="77777777" w:rsidR="00304E43" w:rsidRPr="0095764A" w:rsidRDefault="00AA74E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ICD10 diagnosis codes: 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I24.*; I25.*; I</w:t>
            </w:r>
            <w:r w:rsidR="00304E43" w:rsidRPr="0095764A">
              <w:rPr>
                <w:rFonts w:ascii="Arial" w:eastAsia="Calibri" w:hAnsi="Arial" w:cs="Arial"/>
                <w:sz w:val="20"/>
                <w:szCs w:val="20"/>
              </w:rPr>
              <w:t>20.*</w:t>
            </w:r>
          </w:p>
          <w:p w14:paraId="1AF6DF81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ICD9-CM procedure codes: 36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01, 36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02, 36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03, 36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05, 36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09, 36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10-36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  <w:p w14:paraId="0BE91EAD" w14:textId="77777777" w:rsidR="00FB0569" w:rsidRPr="0095764A" w:rsidRDefault="00FB0569" w:rsidP="00FB05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CPT procedure codes: 33533-36, 33510-23, 33530, 92980-82,92984, 92995-6, 92974</w:t>
            </w:r>
          </w:p>
        </w:tc>
      </w:tr>
      <w:tr w:rsidR="00516847" w:rsidRPr="0095764A" w14:paraId="71E87B97" w14:textId="77777777" w:rsidTr="0031721E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0D66FA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4409D" w14:textId="28A6B8EF" w:rsidR="00516847" w:rsidRPr="0095764A" w:rsidRDefault="00516847" w:rsidP="005168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Peripheral artery disease or revascularization 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15EED" w14:textId="77777777" w:rsidR="00516847" w:rsidRPr="0095764A" w:rsidRDefault="00516847" w:rsidP="00516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440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2X, 442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2, 443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1, 443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9, 445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0X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73631D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ICD10 diagnosis codes: </w:t>
            </w:r>
            <w:r w:rsidRPr="0095764A">
              <w:rPr>
                <w:rFonts w:ascii="Arial" w:hAnsi="Arial" w:cs="Arial"/>
                <w:color w:val="000000"/>
                <w:sz w:val="20"/>
                <w:szCs w:val="20"/>
              </w:rPr>
              <w:t>I70.2*; I72.*; I77.*; I73.9; I75.*</w:t>
            </w:r>
          </w:p>
          <w:p w14:paraId="12EB4E6F" w14:textId="77777777" w:rsidR="004D5DF1" w:rsidRPr="0095764A" w:rsidRDefault="00516847" w:rsidP="004D5D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ICD9-CM procedure codes:38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08-09,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18, 38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38, 38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39, 38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48, 38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49, 38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88, 38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89, 39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25, 39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29, 39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5, 84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4D5DF1"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1X</w:t>
            </w:r>
          </w:p>
          <w:p w14:paraId="4BA0C669" w14:textId="6E000C78" w:rsidR="00516847" w:rsidRPr="0095764A" w:rsidRDefault="00516847" w:rsidP="004D5DF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CPT procedure codes: 35226,35256, 35286, 35351, 35355, 35371, 35372, 35381, 35454, 35456, 35459, 35473, 35474, 35482, 35483, 35485, 35492, 35493, 35495, 35546, 35548, 35549, 35551, 35556, 35558, 35563, 35565, 35566, 35571, 35583, 35585, 35587, 35646, 35651, 35654, 35656, 35661, 35663, 35665, 35666, 35671, 34800, 34802-5</w:t>
            </w:r>
          </w:p>
        </w:tc>
      </w:tr>
      <w:tr w:rsidR="00516847" w:rsidRPr="0095764A" w14:paraId="0BF4FA14" w14:textId="77777777" w:rsidTr="0031721E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DA3AB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E622" w14:textId="4532EE72" w:rsidR="00516847" w:rsidRPr="0095764A" w:rsidRDefault="00516847" w:rsidP="005168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Carotid revascularization 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25FC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ICD9-CM procedure codes: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12, 38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11, 00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61, 00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63, 39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28 </w:t>
            </w:r>
          </w:p>
          <w:p w14:paraId="665169B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CPT procedure codes: 35301, 0005T, 0006T, 0007T, 0075T, 0076T, 37215, 37216 ICD10 procedure code: 031H0AG, 031H0JG, 031H0KG, 031H0ZG, 031J09G, 031J0AG, 031J0JG, 031J0KG,031H09G, 031J0ZG, 037H34Z, 037H3DZ, 037H3ZZ, 037H44Z, 037H4DZ, 037H4ZZ, 037J3DZ, 037J3ZZ, 037J44Z, 037J4DZ, 037J4ZZ, 037K34Z, 037K3DZ, 037K3ZZ, 037K4DZ, 037K4ZZ, 037L34Z, 037L3DZ, 037L3ZZ, 037L44Z, 037L4DZ, 037L4ZZ, 037M34Z, 037M3DZ, 037M3ZZ, 037M44Z, 037M4DZ, 037M4ZZ, 037N34Z, 037N3DZ, 037N3ZZ, 037N44Z, 037N4DZ, 037N4ZZ, 037P34Z, 037P3DZ, 037P3ZZ, 037P44Z, 037P4DZ, 037P4ZZ, 037Q34Z, 037Q3DZ, 037Q3ZZ, 037Q44Z, 037Q4DZ, 037Q4ZZ, 03CH0ZZ, 03CH3ZZ, 03CH4ZZ, 03CJ0ZZ, 03CJ3ZZ, 03CJ4ZZ, 03CK0ZZ, 03CK3ZZ, 03CK4ZZ, 03CL0ZZ, 03CL3ZZ, 03CL4ZZ, 03CM0ZZ, 03CM3ZZ, 03CM4ZZ, 037J34Z, 03CN0ZZ, 03CN3ZZ, 03CN4ZZ, 03CP0ZZ, 03CP3ZZ, 037K44Z,</w:t>
            </w:r>
          </w:p>
          <w:p w14:paraId="5C51D7E4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03CP4ZZ, 03CQ0ZZ, 03CQ3ZZ, 03CQ4ZZ</w:t>
            </w:r>
          </w:p>
          <w:p w14:paraId="3FF3EDC2" w14:textId="4AD41F11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H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CPCS procedure code:  S2211 </w:t>
            </w:r>
          </w:p>
        </w:tc>
      </w:tr>
      <w:tr w:rsidR="00516847" w:rsidRPr="0095764A" w14:paraId="319CEEA3" w14:textId="77777777" w:rsidTr="0031721E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35CCF" w14:textId="79E40C80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TIA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5562" w14:textId="36021864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4DB5F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435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</w:t>
            </w:r>
          </w:p>
          <w:p w14:paraId="06C43E76" w14:textId="01A077E0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ICD10 diagnosis codes:  G45.0; G45.1;G45.8; G45.9; I67.848</w:t>
            </w:r>
          </w:p>
        </w:tc>
      </w:tr>
      <w:tr w:rsidR="00516847" w:rsidRPr="0095764A" w14:paraId="0D802715" w14:textId="77777777" w:rsidTr="0031721E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1483A" w14:textId="3B428D6F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Stroke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CD647" w14:textId="096E9571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6DDF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430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431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434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436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X </w:t>
            </w:r>
          </w:p>
          <w:p w14:paraId="3735295A" w14:textId="5E3ABEE8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lastRenderedPageBreak/>
              <w:t>ICD10 diagnosis codes:  I67.89, I60.9, I61.9, I63.30, I63.40 , I63.50, I66.09, I66.19, I66.29, I66.9, I67.89</w:t>
            </w:r>
          </w:p>
        </w:tc>
      </w:tr>
      <w:tr w:rsidR="00516847" w:rsidRPr="0095764A" w14:paraId="1C66E8F8" w14:textId="77777777" w:rsidTr="0031721E">
        <w:trPr>
          <w:trHeight w:val="70"/>
        </w:trPr>
        <w:tc>
          <w:tcPr>
            <w:tcW w:w="101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B2265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Serious Mental illness 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74FD2B" w14:textId="77777777" w:rsidR="00516847" w:rsidRPr="0095764A" w:rsidRDefault="00516847" w:rsidP="005168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Dementia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212B3F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bCs/>
                <w:sz w:val="20"/>
                <w:szCs w:val="20"/>
                <w:lang w:val="fr-FR"/>
              </w:rPr>
              <w:t xml:space="preserve">ICD 9- CM diagnosis codes: 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290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291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2, 292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82, 294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1X, 331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0-331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1X, 331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82</w:t>
            </w:r>
          </w:p>
          <w:p w14:paraId="1084D47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 10 diagnosis codes: 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F03.9;F01.5*; F10.27;  F19.97; F02.80; F02.81; G30.9; G31.*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D6FAF8" w14:textId="6D6E0465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Medications: Donepezil, Rivastigmine, Galantamine, Tacrine, Memantine</w:t>
            </w:r>
            <w:r w:rsidR="004D5DF1" w:rsidRPr="0095764A">
              <w:rPr>
                <w:sz w:val="20"/>
                <w:szCs w:val="20"/>
              </w:rPr>
              <w:t xml:space="preserve"> </w:t>
            </w:r>
            <w:r w:rsidR="004D5DF1"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Bethanechol, Ambenonium, Atomoxetine, Ergoloid Mesylates,  Dihydrogenated Ergot, Neostigmine, Physostigmine,   Pyridostigmine, Riluzole, Hydergine  </w:t>
            </w:r>
          </w:p>
        </w:tc>
      </w:tr>
      <w:tr w:rsidR="00516847" w:rsidRPr="0095764A" w14:paraId="1A93E981" w14:textId="77777777" w:rsidTr="0031721E">
        <w:trPr>
          <w:trHeight w:val="1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0422A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208C1" w14:textId="77777777" w:rsidR="00516847" w:rsidRPr="0095764A" w:rsidRDefault="00516847" w:rsidP="005168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Depression,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06B4C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311, 300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4, 296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2, 296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3, V79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</w:t>
            </w:r>
          </w:p>
          <w:p w14:paraId="6151CF8B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 10 diagnosis codes: </w:t>
            </w:r>
            <w:r w:rsidRPr="0095764A">
              <w:rPr>
                <w:rFonts w:ascii="Arial" w:hAnsi="Arial" w:cs="Arial"/>
                <w:sz w:val="20"/>
                <w:szCs w:val="20"/>
              </w:rPr>
              <w:t>F33.9, F34.1, F32.*</w:t>
            </w:r>
          </w:p>
        </w:tc>
      </w:tr>
      <w:tr w:rsidR="00516847" w:rsidRPr="0095764A" w14:paraId="63BD366C" w14:textId="77777777" w:rsidTr="0031721E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1C3D1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20D7B" w14:textId="77777777" w:rsidR="00516847" w:rsidRPr="0095764A" w:rsidRDefault="00516847" w:rsidP="005168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Schizophrenia,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7BF86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295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</w:t>
            </w:r>
          </w:p>
          <w:p w14:paraId="0AF4932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 10 diagnosis codes: </w:t>
            </w:r>
            <w:r w:rsidRPr="0095764A">
              <w:rPr>
                <w:rFonts w:ascii="Arial" w:hAnsi="Arial" w:cs="Arial"/>
                <w:sz w:val="20"/>
                <w:szCs w:val="20"/>
              </w:rPr>
              <w:t>F20.*</w:t>
            </w:r>
          </w:p>
        </w:tc>
      </w:tr>
      <w:tr w:rsidR="00516847" w:rsidRPr="0095764A" w14:paraId="0662A8AD" w14:textId="77777777" w:rsidTr="0031721E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DDBA7A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7D415" w14:textId="77777777" w:rsidR="00516847" w:rsidRPr="0095764A" w:rsidRDefault="00516847" w:rsidP="005168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Bipolar disorder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9FE38D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0, 296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4X,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5X,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6X,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7, 296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80, 296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89</w:t>
            </w:r>
          </w:p>
          <w:p w14:paraId="0FE95B5D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10 diagnosis codes: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F30.* F31.*</w:t>
            </w:r>
          </w:p>
        </w:tc>
      </w:tr>
      <w:tr w:rsidR="00516847" w:rsidRPr="0095764A" w14:paraId="3B0CBD15" w14:textId="77777777" w:rsidTr="0031721E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ED969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60879" w14:textId="77777777" w:rsidR="00516847" w:rsidRPr="0095764A" w:rsidRDefault="00516847" w:rsidP="005168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Post traumatic stress disorder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6FF4F4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309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  <w:p w14:paraId="6E151D2A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 10 diagnosis codes: </w:t>
            </w:r>
            <w:r w:rsidRPr="0095764A">
              <w:rPr>
                <w:rFonts w:ascii="Arial" w:hAnsi="Arial" w:cs="Arial"/>
                <w:sz w:val="20"/>
                <w:szCs w:val="20"/>
              </w:rPr>
              <w:t>F43.10; F43.12</w:t>
            </w:r>
          </w:p>
        </w:tc>
      </w:tr>
      <w:tr w:rsidR="00516847" w:rsidRPr="0095764A" w14:paraId="79036E96" w14:textId="77777777" w:rsidTr="0031721E">
        <w:trPr>
          <w:trHeight w:val="7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BEACF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Cardiac valve disease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E4D8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F03CAF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394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395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396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424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0, 424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</w:t>
            </w:r>
          </w:p>
          <w:p w14:paraId="4854D1DA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 10 diagnosis codes: </w:t>
            </w:r>
            <w:r w:rsidRPr="0095764A">
              <w:rPr>
                <w:rFonts w:ascii="Arial" w:hAnsi="Arial" w:cs="Arial"/>
                <w:sz w:val="20"/>
                <w:szCs w:val="20"/>
              </w:rPr>
              <w:t>I05.*; I06.*; I08.*; I34.*; I35.*;</w:t>
            </w:r>
          </w:p>
        </w:tc>
      </w:tr>
      <w:tr w:rsidR="00516847" w:rsidRPr="0095764A" w14:paraId="36091DA4" w14:textId="77777777" w:rsidTr="0031721E">
        <w:trPr>
          <w:trHeight w:val="85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B65AE5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Arrhythmia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9B3F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Atrial fibrillation/flutter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0A147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 427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3X</w:t>
            </w:r>
          </w:p>
          <w:p w14:paraId="3BBF541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10 diagnosis codes: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I48.91, I48.92</w:t>
            </w:r>
          </w:p>
        </w:tc>
      </w:tr>
      <w:tr w:rsidR="00516847" w:rsidRPr="0095764A" w14:paraId="37C24D0F" w14:textId="77777777" w:rsidTr="0031721E">
        <w:trPr>
          <w:trHeight w:val="27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C2F40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Smoking 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83CAE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DCC96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codes:305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1, V15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82, 989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84</w:t>
            </w:r>
          </w:p>
          <w:p w14:paraId="4D269D3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10 diagnosis codes: F17.200, Z87.891, T65.211A, T65.212A, T65.213A, T65.214A, T65.221A, T65.222A, T65.223A, T65.224A, T65.292A, T65.293A, T65.294A</w:t>
            </w:r>
          </w:p>
          <w:p w14:paraId="5D699D3E" w14:textId="30AB9180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Medications: Varenicline tartrate, Nicotine Replacement (gum, patch, lozenge)</w:t>
            </w:r>
          </w:p>
        </w:tc>
      </w:tr>
      <w:tr w:rsidR="00516847" w:rsidRPr="0095764A" w14:paraId="289ECD87" w14:textId="77777777" w:rsidTr="0031721E">
        <w:trPr>
          <w:trHeight w:val="27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1303C1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COPD/ Asthma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3CBA5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84C30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ICD 9- CM diagnosis codes:491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492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 493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 496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X,  V17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5, V81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>3</w:t>
            </w:r>
          </w:p>
          <w:p w14:paraId="4BFF9FB5" w14:textId="77777777" w:rsidR="00516847" w:rsidRPr="0095764A" w:rsidRDefault="00516847" w:rsidP="005168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 10 diagnosis codes: </w:t>
            </w:r>
            <w:r w:rsidRPr="0095764A">
              <w:rPr>
                <w:rFonts w:ascii="Arial" w:hAnsi="Arial" w:cs="Arial"/>
                <w:color w:val="000000"/>
                <w:sz w:val="20"/>
                <w:szCs w:val="20"/>
              </w:rPr>
              <w:t>J41.0, J41.1, J44.9, J44.1, J44.0, J41.8, J42-J43.9, J45.20, J45.22, J45.21, J45.990,J45.991, J45.909, J45.998, J45.902, J45.901, Z13.83</w:t>
            </w:r>
          </w:p>
        </w:tc>
      </w:tr>
      <w:tr w:rsidR="00516847" w:rsidRPr="0095764A" w14:paraId="2AB08858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3F87A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HIV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5381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44787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042, 079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53, 795</w:t>
            </w:r>
            <w:r w:rsidRPr="0095764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71, V08</w:t>
            </w:r>
          </w:p>
          <w:p w14:paraId="20CE702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ICD 10 diagnosis codes: 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B20.*; B97.35; Z21</w:t>
            </w:r>
          </w:p>
        </w:tc>
      </w:tr>
      <w:tr w:rsidR="00516847" w:rsidRPr="0095764A" w14:paraId="4B58B9BE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6B5017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Parkinson’s Disease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C5E1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E1989B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332</w:t>
            </w:r>
          </w:p>
          <w:p w14:paraId="13A83167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10 diagnosis codes: G20; G21.*</w:t>
            </w:r>
          </w:p>
          <w:p w14:paraId="367BEDA6" w14:textId="5F7D4B14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Medications: Apokyn, Apomorphine, Carbidopa/levodopa, Entacapone, Pergolide, Pramipexole, Ropinirole, Rotigotine, Selegiline, Tolcapone, Zelapar, Azilect/Rasagiline, Emsam, Isocarboxazid, Phenelzine, Tranylcypromine</w:t>
            </w:r>
            <w:r w:rsidR="004D5DF1" w:rsidRPr="0095764A">
              <w:rPr>
                <w:rFonts w:ascii="Arial" w:eastAsia="Calibri" w:hAnsi="Arial" w:cs="Arial"/>
                <w:sz w:val="20"/>
                <w:szCs w:val="20"/>
              </w:rPr>
              <w:t xml:space="preserve">,  Biperiden/Akineton, Comtan/Entacapone, </w:t>
            </w:r>
            <w:r w:rsidR="005005AB" w:rsidRPr="0095764A">
              <w:rPr>
                <w:rFonts w:ascii="Arial" w:eastAsia="Calibri" w:hAnsi="Arial" w:cs="Arial"/>
                <w:sz w:val="20"/>
                <w:szCs w:val="20"/>
              </w:rPr>
              <w:t>Safinamide, Trihexyphenidyl</w:t>
            </w:r>
          </w:p>
        </w:tc>
      </w:tr>
      <w:tr w:rsidR="00516847" w:rsidRPr="0095764A" w14:paraId="626200F9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8FF5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Urinary Tract / Kidney Infection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16CFD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E9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590.*, 599.0*, 595.0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08EF60D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10 diagnosis codes: N11.*; N39.* N30.*</w:t>
            </w:r>
          </w:p>
        </w:tc>
      </w:tr>
      <w:tr w:rsidR="00516847" w:rsidRPr="0095764A" w14:paraId="7C7726ED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C427F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Osteomyelitis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FED8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7793A" w14:textId="6FE4DD31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4D5DF1" w:rsidRPr="0095764A">
              <w:rPr>
                <w:rFonts w:ascii="Arial" w:eastAsia="Calibri" w:hAnsi="Arial" w:cs="Arial"/>
                <w:sz w:val="20"/>
                <w:szCs w:val="20"/>
              </w:rPr>
              <w:t>CD 9- CM diagnosis codes: 730.*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6522A09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ICD 10 diagnosis codes: M86.1*; M86.2*; M86.6*; M86.9*; A02.24  </w:t>
            </w:r>
          </w:p>
        </w:tc>
      </w:tr>
      <w:tr w:rsidR="00516847" w:rsidRPr="0095764A" w14:paraId="5A41E1D7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D582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Sepsis/Bacteremia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B5BA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727AD" w14:textId="498CBD76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995.91, 995.92, 038.*, 036.2, 790.7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2A09EFD1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10 diagnosis codes: A41.9; R65.20; A41.*; A39.4; R78.81</w:t>
            </w:r>
          </w:p>
        </w:tc>
      </w:tr>
      <w:tr w:rsidR="00516847" w:rsidRPr="0095764A" w14:paraId="2693DE93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E8CC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Pneumonia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9EF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672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480.*-486.*, 487.0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79B16C47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10 diagnosis codes: J11.*;  J12.*; J13.*; J14.*; J15.*; J16.*; J17.*; J18.*</w:t>
            </w:r>
          </w:p>
        </w:tc>
      </w:tr>
      <w:tr w:rsidR="00516847" w:rsidRPr="0095764A" w14:paraId="4B7CA0DB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E6DC5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Fractures (any)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5D32B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DFBA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ICD 9- CM diagnosis codes: 733.1*, 800.*-829.*, E887  </w:t>
            </w:r>
          </w:p>
          <w:p w14:paraId="079DCAE0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10 diagnosis codes: M84.*; M80.*; S02; *; S12.*; S22.*; S32.*; S42.*; S52.*; S62.*; S72.*; S82.*; S92.*</w:t>
            </w:r>
          </w:p>
        </w:tc>
      </w:tr>
      <w:tr w:rsidR="00516847" w:rsidRPr="0095764A" w14:paraId="6C819C4F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3D53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768C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BBDA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E880.*, E881.*, E884.*, E885.9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0E36EF28" w14:textId="374D3142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lastRenderedPageBreak/>
              <w:t>ICD 10 diagnosis codes: Z98.8, W18.30XA,W18.49XA,W01.110A,W01.198A,W19.X</w:t>
            </w:r>
            <w:r w:rsidR="004D5DF1" w:rsidRPr="0095764A"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XA</w:t>
            </w:r>
          </w:p>
        </w:tc>
      </w:tr>
      <w:tr w:rsidR="00516847" w:rsidRPr="0095764A" w14:paraId="4FD527F6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6672E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Osteoporosis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1198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CB39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733.0*</w:t>
            </w:r>
          </w:p>
          <w:p w14:paraId="1F81C0FB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10 diagnosis codes: M81.*</w:t>
            </w:r>
          </w:p>
        </w:tc>
      </w:tr>
      <w:tr w:rsidR="00516847" w:rsidRPr="0095764A" w14:paraId="6DF1C55D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AECD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Retinopathy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0A91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05F7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 362.01, 362.02, 362.03, 362.04, 362.05, 362.06, 362.07</w:t>
            </w:r>
          </w:p>
          <w:p w14:paraId="56008B6D" w14:textId="64B906F1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10 diagnosis codes: E08.311; E08.319; E08.3211; E08.3212; E08.3291; E08.3292; E08.3293; E08.3299;  E08.3219; E08.3213; E08.3313; E08.3312; E08.3311; E08.3319; E08.3391; E08.3392; E08.3393; E08.3399; E08.3411; E08.3412; E08.3413; E08.3419; E08.3491; E08.3492; E08.3493; E08.3499; E08.3511; E08.3512; E08.3513; E08.3519; E08.3521; E08.3522; E08.3523; E08.3529; E08.3531; E08.3532; E08.3533; E08.3539; E08.3541; E08.3542; E08.3543; E08.3549; E08.3551; E08.3552; E08.3553; E08.3559; E08.3591; E08.3592; E08.3593; E08.3599; E11.311; E11.3491;  E11.3492; E11.3493; E11.3499; E11.3591 ; E11.3592; E11.3593 ; E11.3599 ; E11.3591; E11.3592; E11.3593; E11.3599; E11.3291; E11.3292; E11.3293; E11.3299; E11.3391; E11.3392; E11.3393; E11.3399; E11.3491; E11.3492; E11.3493; E11.3499; E11.319</w:t>
            </w:r>
          </w:p>
        </w:tc>
      </w:tr>
      <w:tr w:rsidR="00516847" w:rsidRPr="0095764A" w14:paraId="1AD715F5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D68C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Amputations 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9C55B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1E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9- CM diagnosis codes: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>V49.75; V49.76; V49.77</w:t>
            </w:r>
          </w:p>
          <w:p w14:paraId="121716EC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ICD 10 diagnosis codes: Z89.519; Z47.81; Z89.6*</w:t>
            </w:r>
          </w:p>
        </w:tc>
      </w:tr>
      <w:tr w:rsidR="00516847" w:rsidRPr="0095764A" w14:paraId="5AF5966E" w14:textId="77777777" w:rsidTr="00D73E59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  <w:hideMark/>
          </w:tcPr>
          <w:p w14:paraId="487210A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Medications </w:t>
            </w:r>
          </w:p>
        </w:tc>
      </w:tr>
      <w:tr w:rsidR="00516847" w:rsidRPr="0095764A" w14:paraId="3B88F26C" w14:textId="77777777" w:rsidTr="0031721E">
        <w:trPr>
          <w:trHeight w:val="646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98E9E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Antipsychotics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22AFE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Atypical and typical antipsychotic medications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483794" w14:textId="5FEBE319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Lithium, Clozapine, Haloperidol, Loxapine, Lurasidone, Molindone, Olanzapine, Paliperidone, Quetiapine Fumerate; Risperidone, Aripiprazole, Asenapine, Ziprasidone, Chlorpromazine, Fluphenazine, Fluphenazine Deconate, Mesoridazine, Perphenazine, Thioridazine, Thiothixene; Trifluoperazine; Triflupromazine, Asenapine, Chlorprothixene, Iloperidone, Molindone, Promazine, Piperacetazine, Methotrimeprazine, Acetophenazine</w:t>
            </w:r>
            <w:r w:rsidR="00252DFE" w:rsidRPr="0095764A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252DFE" w:rsidRPr="0095764A">
              <w:rPr>
                <w:rFonts w:ascii="Arial" w:eastAsia="Calibri" w:hAnsi="Arial" w:cs="Arial"/>
                <w:color w:val="0000FF"/>
                <w:sz w:val="20"/>
                <w:szCs w:val="20"/>
              </w:rPr>
              <w:t xml:space="preserve"> </w:t>
            </w:r>
            <w:r w:rsidR="00252DFE" w:rsidRPr="0095764A">
              <w:rPr>
                <w:rFonts w:ascii="Arial" w:eastAsia="Calibri" w:hAnsi="Arial" w:cs="Arial"/>
                <w:sz w:val="20"/>
                <w:szCs w:val="20"/>
              </w:rPr>
              <w:t>Fazaclo/clozapine, Molindone</w:t>
            </w:r>
          </w:p>
        </w:tc>
      </w:tr>
      <w:tr w:rsidR="00516847" w:rsidRPr="0095764A" w14:paraId="6C661489" w14:textId="77777777" w:rsidTr="0031721E">
        <w:trPr>
          <w:trHeight w:val="51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8E1EB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ACE Inhibitors  alone/combination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AF31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0B4D5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VE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es-VE"/>
              </w:rPr>
              <w:t>Benazepril, Captopril, Enalapril, Fosinopril, Lisinopril, Moexipril, Perindopril, Quinapril, Ramipril, Trandolapril</w:t>
            </w:r>
          </w:p>
        </w:tc>
      </w:tr>
      <w:tr w:rsidR="00516847" w:rsidRPr="0095764A" w14:paraId="74761F5A" w14:textId="77777777" w:rsidTr="0031721E">
        <w:trPr>
          <w:trHeight w:val="51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EBEB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ARBs  alone/combination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7182B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7117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VE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es-VE"/>
              </w:rPr>
              <w:t>Candesartan,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 Eprosartan,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es-VE"/>
              </w:rPr>
              <w:t xml:space="preserve"> Irbesartan, Losartan,</w:t>
            </w: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 Azilsartan, </w:t>
            </w:r>
            <w:r w:rsidRPr="0095764A">
              <w:rPr>
                <w:rFonts w:ascii="Arial" w:eastAsia="Calibri" w:hAnsi="Arial" w:cs="Arial"/>
                <w:sz w:val="20"/>
                <w:szCs w:val="20"/>
                <w:lang w:val="es-VE"/>
              </w:rPr>
              <w:t>Olmesartan, Telmisartan, Valsartan</w:t>
            </w:r>
          </w:p>
        </w:tc>
      </w:tr>
      <w:tr w:rsidR="00516847" w:rsidRPr="0095764A" w14:paraId="1B8E90A0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9DBC1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Beta-blockers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512D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EFEE1C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Acebutolol, Atenolol, Betaxolol, Bisoprolol,  Carteolol, Carvedilol, Esmolol, Labetalol, Metoprolol Tartrate, Metoprolol Succinate, Propranolol, Penbutolol, Pindolol, Nadolol, Sotalol, Timolol, Nebivolol</w:t>
            </w:r>
          </w:p>
        </w:tc>
      </w:tr>
      <w:tr w:rsidR="00516847" w:rsidRPr="0095764A" w14:paraId="12F85583" w14:textId="77777777" w:rsidTr="0031721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4F05B1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Calcium Channel Blockers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A40A7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AF08FA" w14:textId="4E92349A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Amlodipine, Isradipine; Felodipine, Nifedipine, Nifedipine ER, Nicardipine; Diltiazem, Verapamil, Nimodipine;  Nisoldipine; Bepridil, Amlodipine/Atorvastatin, Clevidipine Bu</w:t>
            </w:r>
            <w:r w:rsidR="00252DFE" w:rsidRPr="0095764A">
              <w:rPr>
                <w:rFonts w:ascii="Arial" w:eastAsia="Calibri" w:hAnsi="Arial" w:cs="Arial"/>
                <w:sz w:val="20"/>
                <w:szCs w:val="20"/>
              </w:rPr>
              <w:t>tyrate; Mibefradil</w:t>
            </w:r>
          </w:p>
        </w:tc>
      </w:tr>
      <w:tr w:rsidR="00516847" w:rsidRPr="0095764A" w14:paraId="354A74BC" w14:textId="77777777" w:rsidTr="0031721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F52B4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Thiazide diuretics/ Potassium sparing diuretics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8A0E78" w14:textId="77777777" w:rsidR="00516847" w:rsidRPr="0095764A" w:rsidRDefault="00516847" w:rsidP="00516847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59FCF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Chlorothiazide, Chlorthalidone, Hydrochlorothiazide, Methyclothiazide, Trichlormethiazide, Metolazone, Indapamide, Eplerenone; Amiloride, Spironolactone, Triamterene, Hydrochlorothiazide/Triamterene,  Hydrochlorothiazide/Spironolactone, Bendroflumethiazide, Benzthiazide, Cyclothiazide, Hydroflumethiazide, Polythiazide, Quinethazone</w:t>
            </w:r>
          </w:p>
        </w:tc>
      </w:tr>
      <w:tr w:rsidR="00516847" w:rsidRPr="0095764A" w14:paraId="196B96E0" w14:textId="77777777" w:rsidTr="0031721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6D247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Other Antihypertensives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1BDC37" w14:textId="77777777" w:rsidR="00516847" w:rsidRPr="0095764A" w:rsidRDefault="00516847" w:rsidP="00516847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DC09AA" w14:textId="2FC21232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Doxazosin, Prazosin, Terazosin, Clonidine, Guanabenz, Guanfacine, Hydralazine, Methyldopa,  Metyrosine, Reserpine, Minoxidil, Alfuzosin, Silodosin, Alseroxylon, Cryptenamine, Deserpidine, Diazoxide, Guanethidine, Mecamylamine, Pargyline, Rescinnamine, Trimethaphan Camsylate</w:t>
            </w:r>
          </w:p>
        </w:tc>
      </w:tr>
      <w:tr w:rsidR="00516847" w:rsidRPr="0095764A" w14:paraId="4ABE191F" w14:textId="77777777" w:rsidTr="0031721E">
        <w:trPr>
          <w:trHeight w:val="117"/>
        </w:trPr>
        <w:tc>
          <w:tcPr>
            <w:tcW w:w="101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87DA3A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Anti-arrhythmics Digoxin and other inotropes 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BCE85" w14:textId="77777777" w:rsidR="00516847" w:rsidRPr="0095764A" w:rsidRDefault="00516847" w:rsidP="0051684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Digoxin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BE89EE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Digoxin, Digitalis</w:t>
            </w:r>
          </w:p>
        </w:tc>
      </w:tr>
      <w:tr w:rsidR="00516847" w:rsidRPr="0095764A" w14:paraId="1754EF0B" w14:textId="77777777" w:rsidTr="0031721E">
        <w:trPr>
          <w:trHeight w:val="4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D693CC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F0FBA3" w14:textId="77777777" w:rsidR="00516847" w:rsidRPr="0095764A" w:rsidRDefault="00516847" w:rsidP="0051684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Anti- Arrythmics 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F25FE0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  <w:lang w:val="es-VE"/>
              </w:rPr>
              <w:t>Adenosine, Amiodarone, Lidocaine, Flecainide, Ibutilide, , Procainamide, Propafenone, Ropafenone, Quinidine, Disopyramide, Verapamil, Dofetilide, Mexiletine, Moricizine, Tocainide</w:t>
            </w:r>
          </w:p>
        </w:tc>
      </w:tr>
      <w:tr w:rsidR="00516847" w:rsidRPr="0095764A" w14:paraId="2BCC2BA9" w14:textId="77777777" w:rsidTr="0031721E">
        <w:trPr>
          <w:trHeight w:val="85"/>
        </w:trPr>
        <w:tc>
          <w:tcPr>
            <w:tcW w:w="101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3243B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Anticoagulants and  Platelet inhibitors, not aspirin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71BDDA" w14:textId="77777777" w:rsidR="00516847" w:rsidRPr="0095764A" w:rsidRDefault="00516847" w:rsidP="0051684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Anticoagulants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8D4CE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Warfarin, Argatroban, Bivalirudin, Dalteparin, Enoxaprin, Eptifibatide, Fondaparinux, Heparin, Lepirudin, Tirofiban, Tinzaparin, Reviparin, Nadroparin, Ardeparin, Certoparin, Dabigatran </w:t>
            </w:r>
            <w:r w:rsidRPr="009576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6847" w:rsidRPr="0095764A" w14:paraId="498FDCCA" w14:textId="77777777" w:rsidTr="0031721E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B3C1E5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23D51" w14:textId="77777777" w:rsidR="00516847" w:rsidRPr="0095764A" w:rsidRDefault="00516847" w:rsidP="0051684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Platelet Inhibitors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971F13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Clopidogrel, Ticlopidine, Aspirin/Dipyridamole, Dipyridamole alone, Abciximab, Factor IX,  Factor VIIa, Factor VIII,  Prasugrel, Ticagrelor</w:t>
            </w:r>
          </w:p>
        </w:tc>
      </w:tr>
      <w:tr w:rsidR="00516847" w:rsidRPr="0095764A" w14:paraId="62433B03" w14:textId="77777777" w:rsidTr="0031721E">
        <w:trPr>
          <w:trHeight w:val="8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1616C3" w14:textId="77777777" w:rsidR="00516847" w:rsidRPr="0095764A" w:rsidRDefault="00516847" w:rsidP="00516847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Statins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4077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4F24CA" w14:textId="454F626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Atorvastatin, Fluvastatin, Lovastatin, Pravastatin, Simvastatin, Rosuvastatin,  Cerivastatin  Pitavastatin, Lovastatin ER, Ezetimibe/Simvastatin, Lovastatin/Niacin,  Amlodipine/Atorvastatin</w:t>
            </w:r>
          </w:p>
        </w:tc>
      </w:tr>
      <w:tr w:rsidR="00516847" w:rsidRPr="0095764A" w14:paraId="6FC48D9B" w14:textId="77777777" w:rsidTr="0031721E">
        <w:trPr>
          <w:trHeight w:val="288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3BD5EE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Non-Statin lipid lowering drugs 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ADE42" w14:textId="77777777" w:rsidR="00516847" w:rsidRPr="0095764A" w:rsidRDefault="00516847" w:rsidP="00516847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7D58CC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Cholestyramine, Colesevelam, Clofibrate, Colestipol, Niacin, Niacinamide, Fish Oil Concentrate, Omega 3 Fatty Acids, Gemfibrozil, Fenofibrate, Fenofibric Acid, Ezetimibe Omacor, Tricor/Fenofibrate,  Ezetimibe/Simvastatin</w:t>
            </w:r>
          </w:p>
        </w:tc>
      </w:tr>
      <w:tr w:rsidR="00516847" w:rsidRPr="0095764A" w14:paraId="7AA72856" w14:textId="77777777" w:rsidTr="0031721E">
        <w:trPr>
          <w:trHeight w:val="225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796B1E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 xml:space="preserve">Nitrates 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0F48D2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6981D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Amyl Nitrate, Isosorbide Dinitrate, Isosorbide Mononitrate,  Erythrityl Tetranitrate, Nitroglycerin (all forms--SA, Patch, SL, Ointment; Aerosol spray), Ranolazine </w:t>
            </w:r>
          </w:p>
        </w:tc>
      </w:tr>
      <w:tr w:rsidR="00516847" w:rsidRPr="0095764A" w14:paraId="49480CCA" w14:textId="77777777" w:rsidTr="0031721E">
        <w:trPr>
          <w:trHeight w:val="162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C36885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Aspirin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DAB21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EAF1B8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 xml:space="preserve">Aspirin, Aspirin/  Dipyridamole </w:t>
            </w:r>
          </w:p>
        </w:tc>
      </w:tr>
      <w:tr w:rsidR="00516847" w:rsidRPr="0095764A" w14:paraId="792316A9" w14:textId="77777777" w:rsidTr="0031721E">
        <w:trPr>
          <w:trHeight w:val="180"/>
        </w:trPr>
        <w:tc>
          <w:tcPr>
            <w:tcW w:w="1011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6C1F7F44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b/>
                <w:sz w:val="20"/>
                <w:szCs w:val="20"/>
              </w:rPr>
              <w:t>Loop Diuretics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F624466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hideMark/>
          </w:tcPr>
          <w:p w14:paraId="47E6B7B9" w14:textId="77777777" w:rsidR="00516847" w:rsidRPr="0095764A" w:rsidRDefault="00516847" w:rsidP="005168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64A">
              <w:rPr>
                <w:rFonts w:ascii="Arial" w:eastAsia="Calibri" w:hAnsi="Arial" w:cs="Arial"/>
                <w:sz w:val="20"/>
                <w:szCs w:val="20"/>
              </w:rPr>
              <w:t>Furosemide, Ethacrynic acid, Bumetanide, Torsemide</w:t>
            </w:r>
          </w:p>
        </w:tc>
      </w:tr>
    </w:tbl>
    <w:p w14:paraId="52294528" w14:textId="77777777" w:rsidR="00DD3056" w:rsidRPr="0095764A" w:rsidRDefault="00DD3056" w:rsidP="00DD3056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144F01CD" w14:textId="77777777" w:rsidR="00AA74E9" w:rsidRPr="0095764A" w:rsidRDefault="00DD3056" w:rsidP="00DD30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5764A">
        <w:rPr>
          <w:rFonts w:ascii="Arial" w:eastAsia="Calibri" w:hAnsi="Arial" w:cs="Arial"/>
          <w:bCs/>
          <w:sz w:val="20"/>
          <w:szCs w:val="20"/>
        </w:rPr>
        <w:t xml:space="preserve">ACEI = angiotensin-converting enzyme inhibitor; ARB = angiotensin-receptor blocker; COPD = chronic obstructive pulmonary disease; CPT = Current Procedural Terminology; ICD-9- </w:t>
      </w:r>
      <w:r w:rsidRPr="0095764A">
        <w:rPr>
          <w:rFonts w:ascii="Arial" w:eastAsia="Calibri" w:hAnsi="Arial" w:cs="Arial"/>
          <w:sz w:val="20"/>
          <w:szCs w:val="20"/>
        </w:rPr>
        <w:t>CM</w:t>
      </w:r>
      <w:r w:rsidRPr="0095764A">
        <w:rPr>
          <w:rFonts w:ascii="Arial" w:eastAsia="Calibri" w:hAnsi="Arial" w:cs="Arial"/>
          <w:bCs/>
          <w:sz w:val="20"/>
          <w:szCs w:val="20"/>
        </w:rPr>
        <w:t xml:space="preserve"> = </w:t>
      </w:r>
      <w:r w:rsidRPr="0095764A">
        <w:rPr>
          <w:rFonts w:ascii="Arial" w:eastAsia="Calibri" w:hAnsi="Arial" w:cs="Arial"/>
          <w:sz w:val="20"/>
          <w:szCs w:val="20"/>
        </w:rPr>
        <w:t xml:space="preserve">International Classification of Diseases, Ninth Revision; </w:t>
      </w:r>
      <w:r w:rsidR="00C05C8F" w:rsidRPr="0095764A">
        <w:rPr>
          <w:rFonts w:ascii="Arial" w:eastAsia="Calibri" w:hAnsi="Arial" w:cs="Arial"/>
          <w:sz w:val="20"/>
          <w:szCs w:val="20"/>
        </w:rPr>
        <w:t xml:space="preserve">ICD 10= International Classification of Diseases, Tenth Revision; </w:t>
      </w:r>
      <w:r w:rsidRPr="0095764A">
        <w:rPr>
          <w:rFonts w:ascii="Arial" w:eastAsia="Calibri" w:hAnsi="Arial" w:cs="Arial"/>
          <w:sz w:val="20"/>
          <w:szCs w:val="20"/>
        </w:rPr>
        <w:t>MI = myocardial infarction; TIA = transient ischemic attack</w:t>
      </w:r>
      <w:r w:rsidR="00AA74E9" w:rsidRPr="0095764A">
        <w:rPr>
          <w:rFonts w:ascii="Arial" w:eastAsia="Calibri" w:hAnsi="Arial" w:cs="Arial"/>
          <w:sz w:val="20"/>
          <w:szCs w:val="20"/>
        </w:rPr>
        <w:t xml:space="preserve">. </w:t>
      </w:r>
    </w:p>
    <w:p w14:paraId="3604C906" w14:textId="77777777" w:rsidR="00DD3056" w:rsidRPr="0095764A" w:rsidRDefault="00DD3056" w:rsidP="00DD305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5764A">
        <w:rPr>
          <w:rFonts w:ascii="Arial" w:eastAsia="Calibri" w:hAnsi="Arial" w:cs="Arial"/>
          <w:sz w:val="20"/>
          <w:szCs w:val="20"/>
        </w:rPr>
        <w:t>If medications are combinations of 2 drug classes then a patient is recorded as using both medications</w:t>
      </w:r>
      <w:r w:rsidRPr="0095764A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0A0C3D1" w14:textId="313196FA" w:rsidR="00AA74E9" w:rsidRPr="0095764A" w:rsidRDefault="0093780D" w:rsidP="00AA74E9">
      <w:pPr>
        <w:rPr>
          <w:rFonts w:ascii="Arial" w:eastAsia="Calibri" w:hAnsi="Arial" w:cs="Arial"/>
          <w:color w:val="000000"/>
          <w:sz w:val="20"/>
          <w:szCs w:val="20"/>
        </w:rPr>
      </w:pPr>
      <w:r w:rsidRPr="0095764A">
        <w:rPr>
          <w:rFonts w:ascii="Arial" w:eastAsia="Calibri" w:hAnsi="Arial" w:cs="Arial"/>
          <w:bCs/>
          <w:sz w:val="20"/>
          <w:szCs w:val="20"/>
          <w:vertAlign w:val="superscript"/>
        </w:rPr>
        <w:t>a</w:t>
      </w:r>
      <w:r w:rsidR="00DD3056" w:rsidRPr="0095764A">
        <w:rPr>
          <w:rFonts w:ascii="Arial" w:eastAsia="Calibri" w:hAnsi="Arial" w:cs="Arial"/>
          <w:bCs/>
          <w:sz w:val="20"/>
          <w:szCs w:val="20"/>
        </w:rPr>
        <w:t xml:space="preserve"> Each </w:t>
      </w:r>
      <w:r w:rsidR="00DD3056" w:rsidRPr="0095764A">
        <w:rPr>
          <w:rFonts w:ascii="Arial" w:eastAsia="Calibri" w:hAnsi="Arial" w:cs="Arial"/>
          <w:iCs/>
          <w:sz w:val="20"/>
          <w:szCs w:val="20"/>
        </w:rPr>
        <w:t xml:space="preserve">co-morbid condition was defined as present if there was 1 specified inpatient or 2 specified outpatient codes separated by 30 days, or 1 specified procedure code or prescription for a medication defining that comorbid condition before </w:t>
      </w:r>
      <w:r w:rsidR="00C05C8F" w:rsidRPr="0095764A">
        <w:rPr>
          <w:rFonts w:ascii="Arial" w:eastAsia="Calibri" w:hAnsi="Arial" w:cs="Arial"/>
          <w:iCs/>
          <w:sz w:val="20"/>
          <w:szCs w:val="20"/>
        </w:rPr>
        <w:t>reaching the creatinine threshold</w:t>
      </w:r>
      <w:r w:rsidR="00DD3056" w:rsidRPr="0095764A">
        <w:rPr>
          <w:rFonts w:ascii="Arial" w:eastAsia="Calibri" w:hAnsi="Arial" w:cs="Arial"/>
          <w:color w:val="000000"/>
          <w:sz w:val="20"/>
          <w:szCs w:val="20"/>
        </w:rPr>
        <w:t>.</w:t>
      </w:r>
      <w:r w:rsidR="00D951AD" w:rsidRPr="0095764A">
        <w:rPr>
          <w:rFonts w:ascii="Arial" w:eastAsia="Calibri" w:hAnsi="Arial" w:cs="Arial"/>
          <w:color w:val="000000"/>
          <w:sz w:val="20"/>
          <w:szCs w:val="20"/>
        </w:rPr>
        <w:t xml:space="preserve"> Medications were searched in the pharmacy data using both generic and trade names. </w:t>
      </w:r>
    </w:p>
    <w:p w14:paraId="6285248E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28D850B3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0D9CB933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07988A8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617C7889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F2901FF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633E98DB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37B0842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1F8D219" w14:textId="77777777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1A0E851" w14:textId="3DBA91B6" w:rsidR="00AA74E9" w:rsidRPr="0095764A" w:rsidRDefault="00AA74E9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3974C829" w14:textId="502FACF4" w:rsidR="0031721E" w:rsidRPr="0095764A" w:rsidRDefault="0031721E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00AE13C" w14:textId="4C6F9768" w:rsidR="0031721E" w:rsidRPr="0095764A" w:rsidRDefault="0031721E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0105E19" w14:textId="77777777" w:rsidR="0031721E" w:rsidRPr="0095764A" w:rsidRDefault="0031721E" w:rsidP="00AA74E9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5DB04738" w14:textId="421968A3" w:rsidR="00EF05A7" w:rsidRDefault="00F03D3C" w:rsidP="00BD7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764A">
        <w:rPr>
          <w:rFonts w:ascii="Arial" w:hAnsi="Arial" w:cs="Arial"/>
          <w:b/>
          <w:sz w:val="20"/>
          <w:szCs w:val="20"/>
        </w:rPr>
        <w:lastRenderedPageBreak/>
        <w:softHyphen/>
      </w:r>
      <w:r w:rsidRPr="0095764A">
        <w:rPr>
          <w:rFonts w:ascii="Arial" w:hAnsi="Arial" w:cs="Arial"/>
          <w:b/>
          <w:sz w:val="20"/>
          <w:szCs w:val="20"/>
        </w:rPr>
        <w:softHyphen/>
      </w:r>
      <w:r w:rsidRPr="0095764A">
        <w:rPr>
          <w:rFonts w:ascii="Arial" w:hAnsi="Arial" w:cs="Arial"/>
          <w:b/>
          <w:sz w:val="20"/>
          <w:szCs w:val="20"/>
        </w:rPr>
        <w:softHyphen/>
      </w:r>
      <w:r w:rsidR="00F20B71">
        <w:rPr>
          <w:rFonts w:ascii="Arial" w:eastAsia="Calibri" w:hAnsi="Arial" w:cs="Arial"/>
          <w:b/>
          <w:bCs/>
          <w:sz w:val="20"/>
          <w:szCs w:val="20"/>
        </w:rPr>
        <w:t>Supplementary</w:t>
      </w:r>
      <w:r w:rsidR="000632C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671234" w:rsidRPr="00BF4FBB">
        <w:rPr>
          <w:rFonts w:ascii="Arial" w:eastAsia="Calibri" w:hAnsi="Arial" w:cs="Arial"/>
          <w:b/>
          <w:bCs/>
          <w:sz w:val="20"/>
          <w:szCs w:val="20"/>
        </w:rPr>
        <w:t xml:space="preserve">Description </w:t>
      </w:r>
      <w:r w:rsidR="000956C0" w:rsidRPr="00BF4FBB">
        <w:rPr>
          <w:rFonts w:ascii="Arial" w:eastAsia="Calibri" w:hAnsi="Arial" w:cs="Arial"/>
          <w:b/>
          <w:bCs/>
          <w:sz w:val="20"/>
          <w:szCs w:val="20"/>
        </w:rPr>
        <w:t xml:space="preserve">of Propensity Score </w:t>
      </w:r>
      <w:r w:rsidR="00BF4FBB" w:rsidRPr="00BF4FBB">
        <w:rPr>
          <w:rFonts w:ascii="Arial" w:eastAsia="Calibri" w:hAnsi="Arial" w:cs="Arial"/>
          <w:b/>
          <w:bCs/>
          <w:sz w:val="20"/>
          <w:szCs w:val="20"/>
        </w:rPr>
        <w:t xml:space="preserve">Model and </w:t>
      </w:r>
      <w:r w:rsidR="000956C0" w:rsidRPr="00BF4FBB">
        <w:rPr>
          <w:rFonts w:ascii="Arial" w:eastAsia="Calibri" w:hAnsi="Arial" w:cs="Arial"/>
          <w:b/>
          <w:bCs/>
          <w:sz w:val="20"/>
          <w:szCs w:val="20"/>
        </w:rPr>
        <w:t>Weighting</w:t>
      </w:r>
      <w:r w:rsidR="00BB7F76" w:rsidRPr="00BF4FB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1CCD424E" w14:textId="4EA9298D" w:rsidR="0068629A" w:rsidRPr="008968D4" w:rsidRDefault="00FB07EB" w:rsidP="00BD78D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764A">
        <w:rPr>
          <w:rFonts w:ascii="Arial" w:hAnsi="Arial" w:cs="Arial"/>
          <w:sz w:val="20"/>
          <w:szCs w:val="20"/>
        </w:rPr>
        <w:t xml:space="preserve">The cohort was composed of all eligible persons who </w:t>
      </w:r>
      <w:r w:rsidR="00667147" w:rsidRPr="0095764A">
        <w:rPr>
          <w:rFonts w:ascii="Arial" w:hAnsi="Arial" w:cs="Arial"/>
          <w:sz w:val="20"/>
          <w:szCs w:val="20"/>
        </w:rPr>
        <w:t xml:space="preserve">reached the </w:t>
      </w:r>
      <w:r w:rsidR="00AE7694" w:rsidRPr="0095764A">
        <w:rPr>
          <w:rFonts w:ascii="Arial" w:hAnsi="Arial" w:cs="Arial"/>
          <w:sz w:val="20"/>
          <w:szCs w:val="20"/>
        </w:rPr>
        <w:t>kidney</w:t>
      </w:r>
      <w:r w:rsidR="00667147" w:rsidRPr="0095764A">
        <w:rPr>
          <w:rFonts w:ascii="Arial" w:hAnsi="Arial" w:cs="Arial"/>
          <w:sz w:val="20"/>
          <w:szCs w:val="20"/>
        </w:rPr>
        <w:t xml:space="preserve"> threshold and were using metformin or sulfonylurea</w:t>
      </w:r>
      <w:r w:rsidRPr="0095764A">
        <w:rPr>
          <w:rFonts w:ascii="Arial" w:hAnsi="Arial" w:cs="Arial"/>
          <w:sz w:val="20"/>
          <w:szCs w:val="20"/>
        </w:rPr>
        <w:t xml:space="preserve"> for diabetes</w:t>
      </w:r>
      <w:r w:rsidR="00667147" w:rsidRPr="0095764A">
        <w:rPr>
          <w:rFonts w:ascii="Arial" w:hAnsi="Arial" w:cs="Arial"/>
          <w:sz w:val="20"/>
          <w:szCs w:val="20"/>
        </w:rPr>
        <w:t xml:space="preserve"> treatment</w:t>
      </w:r>
      <w:r w:rsidRPr="0095764A">
        <w:rPr>
          <w:rFonts w:ascii="Arial" w:hAnsi="Arial" w:cs="Arial"/>
          <w:sz w:val="20"/>
          <w:szCs w:val="20"/>
        </w:rPr>
        <w:t>. The</w:t>
      </w:r>
      <w:r w:rsidR="006738A1" w:rsidRPr="0095764A">
        <w:rPr>
          <w:rFonts w:ascii="Arial" w:hAnsi="Arial" w:cs="Arial"/>
          <w:sz w:val="20"/>
          <w:szCs w:val="20"/>
        </w:rPr>
        <w:t xml:space="preserve"> weighted </w:t>
      </w:r>
      <w:r w:rsidRPr="0095764A">
        <w:rPr>
          <w:rFonts w:ascii="Arial" w:hAnsi="Arial" w:cs="Arial"/>
          <w:sz w:val="20"/>
          <w:szCs w:val="20"/>
        </w:rPr>
        <w:t xml:space="preserve">cohort was formed </w:t>
      </w:r>
      <w:r w:rsidR="006738A1" w:rsidRPr="0095764A">
        <w:rPr>
          <w:rFonts w:ascii="Arial" w:hAnsi="Arial" w:cs="Arial"/>
          <w:sz w:val="20"/>
          <w:szCs w:val="20"/>
        </w:rPr>
        <w:t>using matching weights</w:t>
      </w:r>
      <w:r w:rsidR="00B47737" w:rsidRPr="0095764A">
        <w:rPr>
          <w:rFonts w:ascii="Arial" w:hAnsi="Arial" w:cs="Arial"/>
          <w:sz w:val="20"/>
          <w:szCs w:val="20"/>
        </w:rPr>
        <w:t>, derived using propensity scores,</w:t>
      </w:r>
      <w:r w:rsidR="006738A1" w:rsidRPr="0095764A">
        <w:rPr>
          <w:rFonts w:ascii="Arial" w:hAnsi="Arial" w:cs="Arial"/>
          <w:sz w:val="20"/>
          <w:szCs w:val="20"/>
        </w:rPr>
        <w:t xml:space="preserve"> and up or down</w:t>
      </w:r>
      <w:r w:rsidR="00F03D3C" w:rsidRPr="0095764A">
        <w:rPr>
          <w:rFonts w:ascii="Arial" w:hAnsi="Arial" w:cs="Arial"/>
          <w:sz w:val="20"/>
          <w:szCs w:val="20"/>
        </w:rPr>
        <w:t xml:space="preserve"> </w:t>
      </w:r>
      <w:r w:rsidR="006738A1" w:rsidRPr="0095764A">
        <w:rPr>
          <w:rFonts w:ascii="Arial" w:hAnsi="Arial" w:cs="Arial"/>
          <w:sz w:val="20"/>
          <w:szCs w:val="20"/>
        </w:rPr>
        <w:t>weighting patients to more closely resemble each other</w:t>
      </w:r>
      <w:r w:rsidR="005812E5" w:rsidRPr="0095764A">
        <w:rPr>
          <w:rFonts w:ascii="Arial" w:hAnsi="Arial" w:cs="Arial"/>
          <w:sz w:val="20"/>
          <w:szCs w:val="20"/>
        </w:rPr>
        <w:t xml:space="preserve">. </w:t>
      </w:r>
      <w:r w:rsidR="000053F6" w:rsidRPr="0095764A">
        <w:rPr>
          <w:rFonts w:ascii="Arial" w:hAnsi="Arial" w:cs="Arial"/>
          <w:sz w:val="20"/>
          <w:szCs w:val="20"/>
        </w:rPr>
        <w:t xml:space="preserve">50 covariates </w:t>
      </w:r>
      <w:r w:rsidRPr="0095764A">
        <w:rPr>
          <w:rFonts w:ascii="Arial" w:hAnsi="Arial" w:cs="Arial"/>
          <w:sz w:val="20"/>
          <w:szCs w:val="20"/>
        </w:rPr>
        <w:t xml:space="preserve">Table 1 in the paper lists baseline covariates included. </w:t>
      </w:r>
      <w:r w:rsidR="00832DC5" w:rsidRPr="0095764A">
        <w:rPr>
          <w:rFonts w:ascii="Arial" w:hAnsi="Arial" w:cs="Arial"/>
          <w:sz w:val="20"/>
          <w:szCs w:val="20"/>
        </w:rPr>
        <w:t xml:space="preserve">For simplicity, Table 1 presents contraindication date by year, whereas contraindication date is treated as a continuous covariate in the model. </w:t>
      </w:r>
      <w:r w:rsidRPr="0095764A">
        <w:rPr>
          <w:rFonts w:ascii="Arial" w:hAnsi="Arial" w:cs="Arial"/>
          <w:sz w:val="20"/>
          <w:szCs w:val="20"/>
        </w:rPr>
        <w:t xml:space="preserve">Missing covariate values were multiply imputed and indicators for each variable's missingness was included to account for potential informative missingness. </w:t>
      </w:r>
      <w:r w:rsidR="00221EE0" w:rsidRPr="0095764A">
        <w:rPr>
          <w:rFonts w:ascii="Arial" w:hAnsi="Arial" w:cs="Arial"/>
          <w:sz w:val="20"/>
          <w:szCs w:val="20"/>
        </w:rPr>
        <w:t xml:space="preserve">The propensity scores used to create the matching weights were obtained using the last imputed data set and a regression model whose coefficients are found by averaging the coefficient estimates of all the imputed data sets. </w:t>
      </w:r>
      <w:r w:rsidRPr="0095764A">
        <w:rPr>
          <w:rFonts w:ascii="Arial" w:hAnsi="Arial" w:cs="Arial"/>
          <w:sz w:val="20"/>
          <w:szCs w:val="20"/>
        </w:rPr>
        <w:t xml:space="preserve">The PS model </w:t>
      </w:r>
      <w:r w:rsidR="006738A1" w:rsidRPr="0095764A">
        <w:rPr>
          <w:rFonts w:ascii="Arial" w:hAnsi="Arial" w:cs="Arial"/>
          <w:sz w:val="20"/>
          <w:szCs w:val="20"/>
        </w:rPr>
        <w:t>is displayed below</w:t>
      </w:r>
      <w:r w:rsidRPr="0095764A">
        <w:rPr>
          <w:rFonts w:ascii="Arial" w:hAnsi="Arial" w:cs="Arial"/>
          <w:sz w:val="20"/>
          <w:szCs w:val="20"/>
        </w:rPr>
        <w:t xml:space="preserve">. </w:t>
      </w:r>
    </w:p>
    <w:p w14:paraId="760E28D3" w14:textId="77777777" w:rsidR="00F03D3C" w:rsidRPr="0095764A" w:rsidRDefault="00F03D3C" w:rsidP="00BD7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E1A43" w14:textId="6E142F60" w:rsidR="00FB07EB" w:rsidRPr="0095764A" w:rsidRDefault="005812E5" w:rsidP="00ED0422">
      <w:pPr>
        <w:spacing w:after="0"/>
        <w:rPr>
          <w:rFonts w:ascii="Arial" w:hAnsi="Arial" w:cs="Arial"/>
          <w:sz w:val="20"/>
          <w:szCs w:val="20"/>
        </w:rPr>
      </w:pPr>
      <w:r w:rsidRPr="0095764A">
        <w:rPr>
          <w:rFonts w:ascii="Arial" w:hAnsi="Arial" w:cs="Arial"/>
          <w:sz w:val="20"/>
          <w:szCs w:val="20"/>
        </w:rPr>
        <w:t>The weighted analysis balances the covariate distributions by assigning variou</w:t>
      </w:r>
      <w:r w:rsidR="0039058A" w:rsidRPr="0095764A">
        <w:rPr>
          <w:rFonts w:ascii="Arial" w:hAnsi="Arial" w:cs="Arial"/>
          <w:sz w:val="20"/>
          <w:szCs w:val="20"/>
        </w:rPr>
        <w:t>s weights to the patients in both</w:t>
      </w:r>
      <w:r w:rsidRPr="0095764A">
        <w:rPr>
          <w:rFonts w:ascii="Arial" w:hAnsi="Arial" w:cs="Arial"/>
          <w:sz w:val="20"/>
          <w:szCs w:val="20"/>
        </w:rPr>
        <w:t xml:space="preserve"> exposure</w:t>
      </w:r>
      <w:r w:rsidR="0039058A" w:rsidRPr="0095764A">
        <w:rPr>
          <w:rFonts w:ascii="Arial" w:hAnsi="Arial" w:cs="Arial"/>
          <w:sz w:val="20"/>
          <w:szCs w:val="20"/>
        </w:rPr>
        <w:t xml:space="preserve"> groups </w:t>
      </w:r>
      <w:r w:rsidRPr="0095764A">
        <w:rPr>
          <w:rFonts w:ascii="Arial" w:hAnsi="Arial" w:cs="Arial"/>
          <w:sz w:val="20"/>
          <w:szCs w:val="20"/>
        </w:rPr>
        <w:t>such that the weighted group</w:t>
      </w:r>
      <w:r w:rsidR="0039058A" w:rsidRPr="0095764A">
        <w:rPr>
          <w:rFonts w:ascii="Arial" w:hAnsi="Arial" w:cs="Arial"/>
          <w:sz w:val="20"/>
          <w:szCs w:val="20"/>
        </w:rPr>
        <w:t>s</w:t>
      </w:r>
      <w:r w:rsidRPr="0095764A">
        <w:rPr>
          <w:rFonts w:ascii="Arial" w:hAnsi="Arial" w:cs="Arial"/>
          <w:sz w:val="20"/>
          <w:szCs w:val="20"/>
        </w:rPr>
        <w:t xml:space="preserve"> resemble</w:t>
      </w:r>
      <w:r w:rsidR="0039058A" w:rsidRPr="0095764A">
        <w:rPr>
          <w:rFonts w:ascii="Arial" w:hAnsi="Arial" w:cs="Arial"/>
          <w:sz w:val="20"/>
          <w:szCs w:val="20"/>
        </w:rPr>
        <w:t xml:space="preserve"> each</w:t>
      </w:r>
      <w:r w:rsidRPr="0095764A">
        <w:rPr>
          <w:rFonts w:ascii="Arial" w:hAnsi="Arial" w:cs="Arial"/>
          <w:sz w:val="20"/>
          <w:szCs w:val="20"/>
        </w:rPr>
        <w:t xml:space="preserve"> other group</w:t>
      </w:r>
      <w:r w:rsidR="00325043" w:rsidRPr="0095764A">
        <w:rPr>
          <w:rFonts w:ascii="Arial" w:hAnsi="Arial" w:cs="Arial"/>
          <w:sz w:val="20"/>
          <w:szCs w:val="20"/>
        </w:rPr>
        <w:t xml:space="preserve"> (average</w:t>
      </w:r>
      <w:r w:rsidR="00977D70" w:rsidRPr="0095764A">
        <w:rPr>
          <w:rFonts w:ascii="Arial" w:hAnsi="Arial" w:cs="Arial"/>
          <w:sz w:val="20"/>
          <w:szCs w:val="20"/>
        </w:rPr>
        <w:t xml:space="preserve"> treatment effect i</w:t>
      </w:r>
      <w:r w:rsidR="00325043" w:rsidRPr="0095764A">
        <w:rPr>
          <w:rFonts w:ascii="Arial" w:hAnsi="Arial" w:cs="Arial"/>
          <w:sz w:val="20"/>
          <w:szCs w:val="20"/>
        </w:rPr>
        <w:t xml:space="preserve">n evenly </w:t>
      </w:r>
      <w:r w:rsidR="007B72D4" w:rsidRPr="0095764A">
        <w:rPr>
          <w:rFonts w:ascii="Arial" w:hAnsi="Arial" w:cs="Arial"/>
          <w:sz w:val="20"/>
          <w:szCs w:val="20"/>
        </w:rPr>
        <w:t>matchable</w:t>
      </w:r>
      <w:r w:rsidR="00325043" w:rsidRPr="0095764A">
        <w:rPr>
          <w:rFonts w:ascii="Arial" w:hAnsi="Arial" w:cs="Arial"/>
          <w:sz w:val="20"/>
          <w:szCs w:val="20"/>
        </w:rPr>
        <w:t xml:space="preserve"> units [ATM])</w:t>
      </w:r>
      <w:r w:rsidRPr="0095764A">
        <w:rPr>
          <w:rFonts w:ascii="Arial" w:hAnsi="Arial" w:cs="Arial"/>
          <w:sz w:val="20"/>
          <w:szCs w:val="20"/>
        </w:rPr>
        <w:t xml:space="preserve">. </w:t>
      </w:r>
      <w:r w:rsidR="0068629A" w:rsidRPr="0095764A">
        <w:rPr>
          <w:rFonts w:ascii="Arial" w:hAnsi="Arial" w:cs="Arial"/>
          <w:sz w:val="20"/>
          <w:szCs w:val="20"/>
        </w:rPr>
        <w:t xml:space="preserve">When comparing metformin and sulfonylurea users, </w:t>
      </w:r>
      <w:r w:rsidR="0039058A" w:rsidRPr="0095764A">
        <w:rPr>
          <w:rFonts w:ascii="Arial" w:hAnsi="Arial" w:cs="Arial"/>
          <w:sz w:val="20"/>
          <w:szCs w:val="20"/>
        </w:rPr>
        <w:t xml:space="preserve">both the metformin and </w:t>
      </w:r>
      <w:r w:rsidR="0068629A" w:rsidRPr="0095764A">
        <w:rPr>
          <w:rFonts w:ascii="Arial" w:hAnsi="Arial" w:cs="Arial"/>
          <w:sz w:val="20"/>
          <w:szCs w:val="20"/>
        </w:rPr>
        <w:t xml:space="preserve">sulfonylurea users were weighted so that their distribution of covariates resembled </w:t>
      </w:r>
      <w:r w:rsidR="0039058A" w:rsidRPr="0095764A">
        <w:rPr>
          <w:rFonts w:ascii="Arial" w:hAnsi="Arial" w:cs="Arial"/>
          <w:sz w:val="20"/>
          <w:szCs w:val="20"/>
        </w:rPr>
        <w:t>each other</w:t>
      </w:r>
      <w:r w:rsidR="007B72D4" w:rsidRPr="0095764A">
        <w:rPr>
          <w:rFonts w:ascii="Arial" w:hAnsi="Arial" w:cs="Arial"/>
          <w:sz w:val="20"/>
          <w:szCs w:val="20"/>
        </w:rPr>
        <w:t xml:space="preserve"> </w:t>
      </w:r>
      <w:r w:rsidR="00977D70" w:rsidRPr="0095764A">
        <w:rPr>
          <w:rFonts w:ascii="Arial" w:hAnsi="Arial" w:cs="Arial"/>
          <w:sz w:val="20"/>
          <w:szCs w:val="20"/>
        </w:rPr>
        <w:t>and at least a small amount of data is used from each subject</w:t>
      </w:r>
      <w:r w:rsidR="0068629A" w:rsidRPr="0095764A">
        <w:rPr>
          <w:rFonts w:ascii="Arial" w:hAnsi="Arial" w:cs="Arial"/>
          <w:sz w:val="20"/>
          <w:szCs w:val="20"/>
        </w:rPr>
        <w:t xml:space="preserve">. </w:t>
      </w:r>
      <w:r w:rsidR="005F4DB6" w:rsidRPr="0095764A">
        <w:rPr>
          <w:rFonts w:ascii="Arial" w:hAnsi="Arial" w:cs="Arial"/>
          <w:sz w:val="20"/>
          <w:szCs w:val="20"/>
        </w:rPr>
        <w:t xml:space="preserve">An important condition for weighting and </w:t>
      </w:r>
      <w:r w:rsidR="00965341" w:rsidRPr="0095764A">
        <w:rPr>
          <w:rFonts w:ascii="Arial" w:hAnsi="Arial" w:cs="Arial"/>
          <w:sz w:val="20"/>
          <w:szCs w:val="20"/>
        </w:rPr>
        <w:t>p</w:t>
      </w:r>
      <w:r w:rsidR="005F4DB6" w:rsidRPr="0095764A">
        <w:rPr>
          <w:rFonts w:ascii="Arial" w:hAnsi="Arial" w:cs="Arial"/>
          <w:sz w:val="20"/>
          <w:szCs w:val="20"/>
        </w:rPr>
        <w:t>ropensity score methods is that every cohort member have a nontrivial probability of having received either of the study therapies. Our weighting procedure down</w:t>
      </w:r>
      <w:r w:rsidR="0008685B" w:rsidRPr="0095764A">
        <w:rPr>
          <w:rFonts w:ascii="Arial" w:hAnsi="Arial" w:cs="Arial"/>
          <w:sz w:val="20"/>
          <w:szCs w:val="20"/>
        </w:rPr>
        <w:t>-</w:t>
      </w:r>
      <w:r w:rsidR="005F4DB6" w:rsidRPr="0095764A">
        <w:rPr>
          <w:rFonts w:ascii="Arial" w:hAnsi="Arial" w:cs="Arial"/>
          <w:sz w:val="20"/>
          <w:szCs w:val="20"/>
        </w:rPr>
        <w:t>weighted metformin patients for whom very few similar sulfonylurea users existed (</w:t>
      </w:r>
      <w:r w:rsidR="0093780D" w:rsidRPr="0095764A">
        <w:rPr>
          <w:rFonts w:ascii="Arial" w:hAnsi="Arial" w:cs="Arial"/>
          <w:b/>
          <w:sz w:val="20"/>
          <w:szCs w:val="20"/>
        </w:rPr>
        <w:t>e</w:t>
      </w:r>
      <w:r w:rsidR="005F4DB6" w:rsidRPr="0095764A">
        <w:rPr>
          <w:rFonts w:ascii="Arial" w:hAnsi="Arial" w:cs="Arial"/>
          <w:b/>
          <w:sz w:val="20"/>
          <w:szCs w:val="20"/>
        </w:rPr>
        <w:t>Figure 2</w:t>
      </w:r>
      <w:r w:rsidR="005F4DB6" w:rsidRPr="0095764A">
        <w:rPr>
          <w:rFonts w:ascii="Arial" w:hAnsi="Arial" w:cs="Arial"/>
          <w:sz w:val="20"/>
          <w:szCs w:val="20"/>
        </w:rPr>
        <w:t xml:space="preserve">). </w:t>
      </w:r>
      <w:r w:rsidR="00FB07EB" w:rsidRPr="0095764A">
        <w:rPr>
          <w:rFonts w:ascii="Arial" w:hAnsi="Arial" w:cs="Arial"/>
          <w:sz w:val="20"/>
          <w:szCs w:val="20"/>
        </w:rPr>
        <w:t xml:space="preserve">When used to facilitate </w:t>
      </w:r>
      <w:r w:rsidR="006738A1" w:rsidRPr="0095764A">
        <w:rPr>
          <w:rFonts w:ascii="Arial" w:hAnsi="Arial" w:cs="Arial"/>
          <w:sz w:val="20"/>
          <w:szCs w:val="20"/>
        </w:rPr>
        <w:t>a weighted cohort</w:t>
      </w:r>
      <w:r w:rsidR="00FB07EB" w:rsidRPr="0095764A">
        <w:rPr>
          <w:rFonts w:ascii="Arial" w:hAnsi="Arial" w:cs="Arial"/>
          <w:sz w:val="20"/>
          <w:szCs w:val="20"/>
        </w:rPr>
        <w:t xml:space="preserve">, the success of the model is determined by the </w:t>
      </w:r>
      <w:r w:rsidR="006738A1" w:rsidRPr="0095764A">
        <w:rPr>
          <w:rFonts w:ascii="Arial" w:hAnsi="Arial" w:cs="Arial"/>
          <w:sz w:val="20"/>
          <w:szCs w:val="20"/>
        </w:rPr>
        <w:t xml:space="preserve">ability to include all patients and the achievement of </w:t>
      </w:r>
      <w:r w:rsidR="00FB07EB" w:rsidRPr="0095764A">
        <w:rPr>
          <w:rFonts w:ascii="Arial" w:hAnsi="Arial" w:cs="Arial"/>
          <w:sz w:val="20"/>
          <w:szCs w:val="20"/>
        </w:rPr>
        <w:t xml:space="preserve">covariate balance in the </w:t>
      </w:r>
      <w:r w:rsidR="006738A1" w:rsidRPr="0095764A">
        <w:rPr>
          <w:rFonts w:ascii="Arial" w:hAnsi="Arial" w:cs="Arial"/>
          <w:sz w:val="20"/>
          <w:szCs w:val="20"/>
        </w:rPr>
        <w:t xml:space="preserve">weighted </w:t>
      </w:r>
      <w:r w:rsidR="00FB07EB" w:rsidRPr="0095764A">
        <w:rPr>
          <w:rFonts w:ascii="Arial" w:hAnsi="Arial" w:cs="Arial"/>
          <w:sz w:val="20"/>
          <w:szCs w:val="20"/>
        </w:rPr>
        <w:t xml:space="preserve">cohort. </w:t>
      </w:r>
      <w:r w:rsidR="0093780D" w:rsidRPr="0095764A">
        <w:rPr>
          <w:rFonts w:ascii="Arial" w:hAnsi="Arial" w:cs="Arial"/>
          <w:b/>
          <w:sz w:val="20"/>
          <w:szCs w:val="20"/>
        </w:rPr>
        <w:t>e</w:t>
      </w:r>
      <w:r w:rsidR="006738A1" w:rsidRPr="0095764A">
        <w:rPr>
          <w:rFonts w:ascii="Arial" w:hAnsi="Arial" w:cs="Arial"/>
          <w:b/>
          <w:sz w:val="20"/>
          <w:szCs w:val="20"/>
        </w:rPr>
        <w:t>Figure 3</w:t>
      </w:r>
      <w:r w:rsidR="006738A1" w:rsidRPr="0095764A">
        <w:rPr>
          <w:rFonts w:ascii="Arial" w:hAnsi="Arial" w:cs="Arial"/>
          <w:sz w:val="20"/>
          <w:szCs w:val="20"/>
        </w:rPr>
        <w:t xml:space="preserve"> in the appendix </w:t>
      </w:r>
      <w:r w:rsidR="00FB07EB" w:rsidRPr="0095764A">
        <w:rPr>
          <w:rFonts w:ascii="Arial" w:hAnsi="Arial" w:cs="Arial"/>
          <w:sz w:val="20"/>
          <w:szCs w:val="20"/>
        </w:rPr>
        <w:t xml:space="preserve">demonstrates the </w:t>
      </w:r>
      <w:r w:rsidR="00FB07EB" w:rsidRPr="0095764A">
        <w:rPr>
          <w:rFonts w:ascii="Arial" w:hAnsi="Arial" w:cs="Arial"/>
          <w:iCs/>
          <w:sz w:val="20"/>
          <w:szCs w:val="20"/>
        </w:rPr>
        <w:t xml:space="preserve">standardized </w:t>
      </w:r>
      <w:r w:rsidR="006738A1" w:rsidRPr="0095764A">
        <w:rPr>
          <w:rFonts w:ascii="Arial" w:hAnsi="Arial" w:cs="Arial"/>
          <w:iCs/>
          <w:sz w:val="20"/>
          <w:szCs w:val="20"/>
        </w:rPr>
        <w:t xml:space="preserve">mean </w:t>
      </w:r>
      <w:r w:rsidR="00FB07EB" w:rsidRPr="0095764A">
        <w:rPr>
          <w:rFonts w:ascii="Arial" w:hAnsi="Arial" w:cs="Arial"/>
          <w:iCs/>
          <w:sz w:val="20"/>
          <w:szCs w:val="20"/>
        </w:rPr>
        <w:t xml:space="preserve">difference </w:t>
      </w:r>
      <w:r w:rsidR="006738A1" w:rsidRPr="0095764A">
        <w:rPr>
          <w:rFonts w:ascii="Arial" w:hAnsi="Arial" w:cs="Arial"/>
          <w:iCs/>
          <w:sz w:val="20"/>
          <w:szCs w:val="20"/>
        </w:rPr>
        <w:t>(SMD) before and after weighting</w:t>
      </w:r>
      <w:r w:rsidR="00FB07EB" w:rsidRPr="0095764A">
        <w:rPr>
          <w:rFonts w:ascii="Arial" w:hAnsi="Arial" w:cs="Arial"/>
          <w:sz w:val="20"/>
          <w:szCs w:val="20"/>
        </w:rPr>
        <w:t xml:space="preserve">. </w:t>
      </w:r>
      <w:r w:rsidR="006738A1" w:rsidRPr="0095764A">
        <w:rPr>
          <w:rFonts w:ascii="Arial" w:hAnsi="Arial" w:cs="Arial"/>
          <w:sz w:val="20"/>
          <w:szCs w:val="20"/>
        </w:rPr>
        <w:t xml:space="preserve"> </w:t>
      </w:r>
      <w:r w:rsidR="006738A1" w:rsidRPr="0095764A">
        <w:rPr>
          <w:rFonts w:ascii="Arial" w:hAnsi="Arial" w:cs="Arial"/>
          <w:b/>
          <w:sz w:val="20"/>
          <w:szCs w:val="20"/>
        </w:rPr>
        <w:t>Table 1</w:t>
      </w:r>
      <w:r w:rsidR="006738A1" w:rsidRPr="0095764A">
        <w:rPr>
          <w:rFonts w:ascii="Arial" w:hAnsi="Arial" w:cs="Arial"/>
          <w:sz w:val="20"/>
          <w:szCs w:val="20"/>
        </w:rPr>
        <w:t xml:space="preserve"> in the paper demonstrates that all SMD </w:t>
      </w:r>
      <w:r w:rsidR="00FB07EB" w:rsidRPr="0095764A">
        <w:rPr>
          <w:rFonts w:ascii="Arial" w:hAnsi="Arial" w:cs="Arial"/>
          <w:sz w:val="20"/>
          <w:szCs w:val="20"/>
        </w:rPr>
        <w:t xml:space="preserve">after </w:t>
      </w:r>
      <w:r w:rsidR="006738A1" w:rsidRPr="0095764A">
        <w:rPr>
          <w:rFonts w:ascii="Arial" w:hAnsi="Arial" w:cs="Arial"/>
          <w:sz w:val="20"/>
          <w:szCs w:val="20"/>
        </w:rPr>
        <w:t>weighting ha</w:t>
      </w:r>
      <w:r w:rsidR="00FB07EB" w:rsidRPr="0095764A">
        <w:rPr>
          <w:rFonts w:ascii="Arial" w:hAnsi="Arial" w:cs="Arial"/>
          <w:sz w:val="20"/>
          <w:szCs w:val="20"/>
        </w:rPr>
        <w:t xml:space="preserve">ve an absolute value &lt; 0.1. </w:t>
      </w:r>
      <w:r w:rsidR="00F35A58" w:rsidRPr="0095764A">
        <w:rPr>
          <w:rFonts w:ascii="Arial" w:hAnsi="Arial" w:cs="Arial"/>
          <w:sz w:val="20"/>
          <w:szCs w:val="20"/>
        </w:rPr>
        <w:t xml:space="preserve">Matching weights </w:t>
      </w:r>
      <w:r w:rsidR="00EF05A7">
        <w:rPr>
          <w:rFonts w:ascii="Arial" w:hAnsi="Arial" w:cs="Arial"/>
          <w:sz w:val="20"/>
          <w:szCs w:val="20"/>
        </w:rPr>
        <w:t xml:space="preserve">take values between 0 and 1. They </w:t>
      </w:r>
      <w:r w:rsidR="00F35A58" w:rsidRPr="0095764A">
        <w:rPr>
          <w:rFonts w:ascii="Arial" w:hAnsi="Arial" w:cs="Arial"/>
          <w:sz w:val="20"/>
          <w:szCs w:val="20"/>
        </w:rPr>
        <w:t xml:space="preserve">yield approximately equal weighted sample sizes </w:t>
      </w:r>
      <w:r w:rsidR="00EF05A7">
        <w:rPr>
          <w:rFonts w:ascii="Arial" w:hAnsi="Arial" w:cs="Arial"/>
          <w:sz w:val="20"/>
          <w:szCs w:val="20"/>
        </w:rPr>
        <w:t>in</w:t>
      </w:r>
      <w:r w:rsidR="00EF05A7" w:rsidRPr="0095764A">
        <w:rPr>
          <w:rFonts w:ascii="Arial" w:hAnsi="Arial" w:cs="Arial"/>
          <w:sz w:val="20"/>
          <w:szCs w:val="20"/>
        </w:rPr>
        <w:t xml:space="preserve"> </w:t>
      </w:r>
      <w:r w:rsidR="00F35A58" w:rsidRPr="0095764A">
        <w:rPr>
          <w:rFonts w:ascii="Arial" w:hAnsi="Arial" w:cs="Arial"/>
          <w:sz w:val="20"/>
          <w:szCs w:val="20"/>
        </w:rPr>
        <w:t>a pseudo-matched cohort.</w:t>
      </w:r>
      <w:r w:rsidR="00ED0422" w:rsidRPr="009576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D0422" w:rsidRPr="00E5075E">
        <w:rPr>
          <w:rFonts w:ascii="Arial" w:eastAsia="Times New Roman" w:hAnsi="Arial" w:cs="Arial"/>
          <w:color w:val="000000"/>
          <w:sz w:val="20"/>
          <w:szCs w:val="20"/>
        </w:rPr>
        <w:t>Sum</w:t>
      </w:r>
      <w:r w:rsidR="00ED0422" w:rsidRPr="00E5075E">
        <w:rPr>
          <w:rFonts w:ascii="Arial" w:hAnsi="Arial" w:cs="Arial"/>
          <w:sz w:val="20"/>
          <w:szCs w:val="20"/>
        </w:rPr>
        <w:t>maries of the match</w:t>
      </w:r>
      <w:r w:rsidR="00965341" w:rsidRPr="00E5075E">
        <w:rPr>
          <w:rFonts w:ascii="Arial" w:hAnsi="Arial" w:cs="Arial"/>
          <w:sz w:val="20"/>
          <w:szCs w:val="20"/>
        </w:rPr>
        <w:t>ing</w:t>
      </w:r>
      <w:r w:rsidR="00ED0422" w:rsidRPr="00E5075E">
        <w:rPr>
          <w:rFonts w:ascii="Arial" w:hAnsi="Arial" w:cs="Arial"/>
          <w:sz w:val="20"/>
          <w:szCs w:val="20"/>
        </w:rPr>
        <w:t xml:space="preserve"> weights by group demonstrate that among sulfonylurea users the median weight is 1.0, mean weight is 0.85</w:t>
      </w:r>
      <w:r w:rsidR="00E5075E" w:rsidRPr="00E5075E">
        <w:rPr>
          <w:rFonts w:ascii="Arial" w:hAnsi="Arial" w:cs="Arial"/>
          <w:sz w:val="20"/>
          <w:szCs w:val="20"/>
        </w:rPr>
        <w:t>6</w:t>
      </w:r>
      <w:r w:rsidR="00ED0422" w:rsidRPr="00E5075E">
        <w:rPr>
          <w:rFonts w:ascii="Arial" w:hAnsi="Arial" w:cs="Arial"/>
          <w:sz w:val="20"/>
          <w:szCs w:val="20"/>
        </w:rPr>
        <w:t xml:space="preserve"> and 90</w:t>
      </w:r>
      <w:r w:rsidR="00ED0422" w:rsidRPr="00E5075E">
        <w:rPr>
          <w:rFonts w:ascii="Arial" w:hAnsi="Arial" w:cs="Arial"/>
          <w:sz w:val="20"/>
          <w:szCs w:val="20"/>
          <w:vertAlign w:val="superscript"/>
        </w:rPr>
        <w:t>th</w:t>
      </w:r>
      <w:r w:rsidR="00ED0422" w:rsidRPr="00E5075E">
        <w:rPr>
          <w:rFonts w:ascii="Arial" w:hAnsi="Arial" w:cs="Arial"/>
          <w:sz w:val="20"/>
          <w:szCs w:val="20"/>
        </w:rPr>
        <w:t xml:space="preserve"> percentile is 1.0. Among metformin users </w:t>
      </w:r>
      <w:r w:rsidR="00424C7E" w:rsidRPr="00E5075E">
        <w:rPr>
          <w:rFonts w:ascii="Arial" w:hAnsi="Arial" w:cs="Arial"/>
          <w:sz w:val="20"/>
          <w:szCs w:val="20"/>
        </w:rPr>
        <w:t>the median</w:t>
      </w:r>
      <w:r w:rsidR="00ED0422" w:rsidRPr="00E5075E">
        <w:rPr>
          <w:rFonts w:ascii="Arial" w:hAnsi="Arial" w:cs="Arial"/>
          <w:sz w:val="20"/>
          <w:szCs w:val="20"/>
        </w:rPr>
        <w:t xml:space="preserve"> weight is 0.25, mean weight is 0.36 and 90</w:t>
      </w:r>
      <w:r w:rsidR="00ED0422" w:rsidRPr="00E5075E">
        <w:rPr>
          <w:rFonts w:ascii="Arial" w:hAnsi="Arial" w:cs="Arial"/>
          <w:sz w:val="20"/>
          <w:szCs w:val="20"/>
          <w:vertAlign w:val="superscript"/>
        </w:rPr>
        <w:t>th</w:t>
      </w:r>
      <w:r w:rsidR="00ED0422" w:rsidRPr="00E5075E">
        <w:rPr>
          <w:rFonts w:ascii="Arial" w:hAnsi="Arial" w:cs="Arial"/>
          <w:sz w:val="20"/>
          <w:szCs w:val="20"/>
        </w:rPr>
        <w:t xml:space="preserve"> percentile is 0.95</w:t>
      </w:r>
      <w:r w:rsidR="00E5075E" w:rsidRPr="00E5075E">
        <w:rPr>
          <w:rFonts w:ascii="Arial" w:hAnsi="Arial" w:cs="Arial"/>
          <w:sz w:val="20"/>
          <w:szCs w:val="20"/>
        </w:rPr>
        <w:t>0</w:t>
      </w:r>
      <w:r w:rsidR="00ED0422" w:rsidRPr="00E5075E">
        <w:rPr>
          <w:rFonts w:ascii="Arial" w:hAnsi="Arial" w:cs="Arial"/>
          <w:sz w:val="20"/>
          <w:szCs w:val="20"/>
        </w:rPr>
        <w:t>.</w:t>
      </w:r>
    </w:p>
    <w:p w14:paraId="1DD5697F" w14:textId="58B84B13" w:rsidR="00F24F87" w:rsidRDefault="005828FF" w:rsidP="008968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64A">
        <w:rPr>
          <w:rFonts w:ascii="Arial" w:hAnsi="Arial" w:cs="Arial"/>
          <w:sz w:val="20"/>
          <w:szCs w:val="20"/>
        </w:rPr>
        <w:t>M</w:t>
      </w:r>
      <w:r w:rsidR="006D291C" w:rsidRPr="0095764A">
        <w:rPr>
          <w:rFonts w:ascii="Arial" w:hAnsi="Arial" w:cs="Arial"/>
          <w:sz w:val="20"/>
          <w:szCs w:val="20"/>
        </w:rPr>
        <w:t xml:space="preserve">odel for Probability of remaining on </w:t>
      </w:r>
      <w:r w:rsidRPr="0095764A">
        <w:rPr>
          <w:rFonts w:ascii="Arial" w:hAnsi="Arial" w:cs="Arial"/>
          <w:sz w:val="20"/>
          <w:szCs w:val="20"/>
        </w:rPr>
        <w:t>regimen</w:t>
      </w:r>
      <w:r w:rsidR="006D291C" w:rsidRPr="0095764A">
        <w:rPr>
          <w:rFonts w:ascii="Arial" w:hAnsi="Arial" w:cs="Arial"/>
          <w:sz w:val="20"/>
          <w:szCs w:val="20"/>
        </w:rPr>
        <w:t xml:space="preserve"> at </w:t>
      </w:r>
      <w:r w:rsidR="00AE7694" w:rsidRPr="0095764A">
        <w:rPr>
          <w:rFonts w:ascii="Arial" w:hAnsi="Arial" w:cs="Arial"/>
          <w:sz w:val="20"/>
          <w:szCs w:val="20"/>
        </w:rPr>
        <w:t>Kidney</w:t>
      </w:r>
      <w:r w:rsidR="006D291C" w:rsidRPr="0095764A">
        <w:rPr>
          <w:rFonts w:ascii="Arial" w:hAnsi="Arial" w:cs="Arial"/>
          <w:sz w:val="20"/>
          <w:szCs w:val="20"/>
        </w:rPr>
        <w:t xml:space="preserve"> Threshold</w:t>
      </w:r>
      <w:r w:rsidR="009541A9" w:rsidRPr="0095764A">
        <w:rPr>
          <w:rFonts w:ascii="Arial" w:hAnsi="Arial" w:cs="Arial"/>
          <w:sz w:val="20"/>
          <w:szCs w:val="20"/>
        </w:rPr>
        <w:t xml:space="preserve"> </w:t>
      </w:r>
      <w:r w:rsidR="0093780D" w:rsidRPr="0095764A">
        <w:rPr>
          <w:rFonts w:ascii="Arial" w:hAnsi="Arial" w:cs="Arial"/>
          <w:b/>
          <w:sz w:val="20"/>
          <w:szCs w:val="20"/>
        </w:rPr>
        <w:t>e</w:t>
      </w:r>
      <w:r w:rsidR="009541A9" w:rsidRPr="0095764A">
        <w:rPr>
          <w:rFonts w:ascii="Arial" w:hAnsi="Arial" w:cs="Arial"/>
          <w:b/>
          <w:sz w:val="20"/>
          <w:szCs w:val="20"/>
        </w:rPr>
        <w:t>Figure 4</w:t>
      </w:r>
      <w:r w:rsidR="009541A9" w:rsidRPr="0095764A">
        <w:rPr>
          <w:rFonts w:ascii="Arial" w:hAnsi="Arial" w:cs="Arial"/>
          <w:sz w:val="20"/>
          <w:szCs w:val="20"/>
        </w:rPr>
        <w:t xml:space="preserve"> demonstrates the </w:t>
      </w:r>
      <w:r w:rsidR="00F52702" w:rsidRPr="0095764A">
        <w:rPr>
          <w:rFonts w:ascii="Arial" w:hAnsi="Arial" w:cs="Arial"/>
          <w:sz w:val="20"/>
          <w:szCs w:val="20"/>
        </w:rPr>
        <w:t>PS model variance</w:t>
      </w:r>
      <w:r w:rsidR="008968D4">
        <w:rPr>
          <w:rFonts w:ascii="Arial" w:hAnsi="Arial" w:cs="Arial"/>
          <w:sz w:val="20"/>
          <w:szCs w:val="20"/>
        </w:rPr>
        <w:t>.</w:t>
      </w:r>
    </w:p>
    <w:p w14:paraId="31250287" w14:textId="73DEBAB9" w:rsidR="008968D4" w:rsidRDefault="00896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F10436" w14:textId="386E503B" w:rsidR="00FB07EB" w:rsidRPr="00BF4FBB" w:rsidRDefault="00F20B71" w:rsidP="00BD78D7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>Supplementary</w:t>
      </w:r>
      <w:r w:rsidR="000632CB" w:rsidRPr="000632C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632CB">
        <w:rPr>
          <w:rFonts w:ascii="Arial" w:eastAsia="Calibri" w:hAnsi="Arial" w:cs="Arial"/>
          <w:b/>
          <w:bCs/>
          <w:sz w:val="20"/>
          <w:szCs w:val="20"/>
        </w:rPr>
        <w:t>Table 2</w:t>
      </w:r>
      <w:r w:rsidR="00F24F87" w:rsidRPr="00BF4FBB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 w:rsidR="00BF4FBB" w:rsidRPr="00BF4FBB">
        <w:rPr>
          <w:rFonts w:ascii="Arial" w:eastAsia="Calibri" w:hAnsi="Arial" w:cs="Arial"/>
          <w:b/>
          <w:bCs/>
          <w:sz w:val="20"/>
          <w:szCs w:val="20"/>
        </w:rPr>
        <w:t>P</w:t>
      </w:r>
      <w:r w:rsidR="00F24F87" w:rsidRPr="00BF4FBB">
        <w:rPr>
          <w:rFonts w:ascii="Arial" w:eastAsia="Calibri" w:hAnsi="Arial" w:cs="Arial"/>
          <w:b/>
          <w:bCs/>
          <w:sz w:val="20"/>
          <w:szCs w:val="20"/>
        </w:rPr>
        <w:t>ropensity score model</w:t>
      </w:r>
      <w:r w:rsidR="00BF4FBB" w:rsidRPr="00BF4FBB">
        <w:rPr>
          <w:rFonts w:ascii="Arial" w:eastAsia="Calibri" w:hAnsi="Arial" w:cs="Arial"/>
          <w:b/>
          <w:bCs/>
          <w:sz w:val="20"/>
          <w:szCs w:val="20"/>
        </w:rPr>
        <w:t>’s</w:t>
      </w:r>
      <w:r w:rsidR="00F24F87" w:rsidRPr="00BF4FB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F4FBB" w:rsidRPr="00BF4FBB">
        <w:rPr>
          <w:rFonts w:ascii="Arial" w:eastAsia="Calibri" w:hAnsi="Arial" w:cs="Arial"/>
          <w:b/>
          <w:bCs/>
          <w:sz w:val="20"/>
          <w:szCs w:val="20"/>
        </w:rPr>
        <w:t>Chi-Square and degrees of freedom for each covariate</w:t>
      </w:r>
      <w:r w:rsidR="00F24F87" w:rsidRPr="00BF4FB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tbl>
      <w:tblPr>
        <w:tblStyle w:val="Style111"/>
        <w:tblW w:w="5000" w:type="pct"/>
        <w:tblLayout w:type="fixed"/>
        <w:tblLook w:val="04A0" w:firstRow="1" w:lastRow="0" w:firstColumn="1" w:lastColumn="0" w:noHBand="0" w:noVBand="1"/>
      </w:tblPr>
      <w:tblGrid>
        <w:gridCol w:w="5942"/>
        <w:gridCol w:w="1827"/>
        <w:gridCol w:w="962"/>
        <w:gridCol w:w="629"/>
      </w:tblGrid>
      <w:tr w:rsidR="00FB7E90" w:rsidRPr="0095764A" w14:paraId="4B42EC82" w14:textId="7BE5A232" w:rsidTr="00A9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01857EEB" w14:textId="77777777" w:rsidR="00FB7E90" w:rsidRPr="0095764A" w:rsidRDefault="00FB7E90" w:rsidP="0025655A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6" w:type="pct"/>
            <w:noWrap/>
          </w:tcPr>
          <w:p w14:paraId="7962B484" w14:textId="7C6F49F9" w:rsidR="00FB7E90" w:rsidRPr="0095764A" w:rsidRDefault="00FB7E90" w:rsidP="002565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Chi-Square</w:t>
            </w:r>
          </w:p>
        </w:tc>
        <w:tc>
          <w:tcPr>
            <w:tcW w:w="850" w:type="pct"/>
            <w:gridSpan w:val="2"/>
            <w:noWrap/>
          </w:tcPr>
          <w:p w14:paraId="5AB4202B" w14:textId="5475D9DB" w:rsidR="00FB7E90" w:rsidRPr="0095764A" w:rsidRDefault="00FB7E90" w:rsidP="0025655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d.f.</w:t>
            </w:r>
          </w:p>
        </w:tc>
      </w:tr>
      <w:tr w:rsidR="00FB7E90" w:rsidRPr="0095764A" w14:paraId="08F1BD9C" w14:textId="77777777" w:rsidTr="00A97398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F80E450" w14:textId="2D7D0649" w:rsidR="00FB7E90" w:rsidRPr="0095764A" w:rsidRDefault="00FB7E90" w:rsidP="0025655A">
            <w:pPr>
              <w:spacing w:line="276" w:lineRule="auto"/>
              <w:rPr>
                <w:rFonts w:ascii="Arial" w:eastAsia="Times New Roman" w:hAnsi="Arial" w:cs="Arial"/>
              </w:rPr>
            </w:pPr>
            <w:r w:rsidRPr="0095764A">
              <w:rPr>
                <w:rFonts w:ascii="Arial" w:eastAsia="Times New Roman" w:hAnsi="Arial" w:cs="Arial"/>
                <w:b/>
                <w:color w:val="000000"/>
              </w:rPr>
              <w:t>Demographics</w:t>
            </w:r>
          </w:p>
        </w:tc>
        <w:tc>
          <w:tcPr>
            <w:tcW w:w="976" w:type="pct"/>
            <w:noWrap/>
          </w:tcPr>
          <w:p w14:paraId="0EC3C069" w14:textId="77777777" w:rsidR="00FB7E90" w:rsidRPr="0095764A" w:rsidRDefault="00FB7E90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pct"/>
            <w:gridSpan w:val="2"/>
            <w:noWrap/>
          </w:tcPr>
          <w:p w14:paraId="06B92CA1" w14:textId="77777777" w:rsidR="00FB7E90" w:rsidRPr="0095764A" w:rsidRDefault="00FB7E90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4F87" w:rsidRPr="0095764A" w14:paraId="250641F0" w14:textId="77777777" w:rsidTr="00B317B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61781DBA" w14:textId="6E361D5A" w:rsidR="00F24F87" w:rsidRPr="0095764A" w:rsidRDefault="00F24F87" w:rsidP="00F24F8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    Age</w:t>
            </w:r>
          </w:p>
        </w:tc>
        <w:tc>
          <w:tcPr>
            <w:tcW w:w="976" w:type="pct"/>
            <w:noWrap/>
            <w:vAlign w:val="bottom"/>
          </w:tcPr>
          <w:p w14:paraId="581954FE" w14:textId="385CD77A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455.0162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153ECB34" w14:textId="031F26BD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2640BA79" w14:textId="77777777" w:rsidTr="00B317B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1ED9DC2C" w14:textId="0EA5E652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Gender </w:t>
            </w:r>
          </w:p>
        </w:tc>
        <w:tc>
          <w:tcPr>
            <w:tcW w:w="976" w:type="pct"/>
            <w:noWrap/>
            <w:vAlign w:val="bottom"/>
          </w:tcPr>
          <w:p w14:paraId="26E046D3" w14:textId="461741B5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77.35471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623F021B" w14:textId="5C7FB2F7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427A3643" w14:textId="77777777" w:rsidTr="00B317B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E84059A" w14:textId="55F67127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Race </w:t>
            </w:r>
          </w:p>
        </w:tc>
        <w:tc>
          <w:tcPr>
            <w:tcW w:w="976" w:type="pct"/>
            <w:noWrap/>
            <w:vAlign w:val="bottom"/>
          </w:tcPr>
          <w:p w14:paraId="39D7C7ED" w14:textId="1BDDBFE0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224.4366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A99345A" w14:textId="1A10A2D0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5EC07EE9" w14:textId="77777777" w:rsidTr="00B317B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56A491E" w14:textId="415D14AB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Months from hypoglycemic start until kidney threshold</w:t>
            </w:r>
          </w:p>
        </w:tc>
        <w:tc>
          <w:tcPr>
            <w:tcW w:w="976" w:type="pct"/>
            <w:noWrap/>
            <w:vAlign w:val="bottom"/>
          </w:tcPr>
          <w:p w14:paraId="1983DA38" w14:textId="706EB0A9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39.91859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1B27BE69" w14:textId="1D761BA1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1F3CFF73" w14:textId="77777777" w:rsidTr="00B317B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0FF53ECC" w14:textId="35C0BAF3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Contraindication date</w:t>
            </w:r>
          </w:p>
        </w:tc>
        <w:tc>
          <w:tcPr>
            <w:tcW w:w="976" w:type="pct"/>
            <w:noWrap/>
            <w:vAlign w:val="bottom"/>
          </w:tcPr>
          <w:p w14:paraId="4E76C956" w14:textId="1CEC74AC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6651.669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C11BAEE" w14:textId="0618823E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3360516C" w14:textId="77777777" w:rsidTr="00B317B9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66D90394" w14:textId="33E0B971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VISN of Care </w:t>
            </w:r>
          </w:p>
        </w:tc>
        <w:tc>
          <w:tcPr>
            <w:tcW w:w="976" w:type="pct"/>
            <w:noWrap/>
            <w:vAlign w:val="bottom"/>
          </w:tcPr>
          <w:p w14:paraId="2E6B4259" w14:textId="17F73453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414.2542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63DD144A" w14:textId="4F5E815B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A03E3" w:rsidRPr="0095764A" w14:paraId="6A02921A" w14:textId="77777777" w:rsidTr="00A97398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C1C68EE" w14:textId="6A983F5D" w:rsidR="000A03E3" w:rsidRPr="0095764A" w:rsidRDefault="000A03E3" w:rsidP="0025655A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b/>
                <w:color w:val="000000"/>
              </w:rPr>
              <w:t>Clinical and Laboratory Variables</w:t>
            </w:r>
          </w:p>
        </w:tc>
        <w:tc>
          <w:tcPr>
            <w:tcW w:w="976" w:type="pct"/>
            <w:noWrap/>
          </w:tcPr>
          <w:p w14:paraId="68F25D02" w14:textId="1F588567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pct"/>
            <w:gridSpan w:val="2"/>
            <w:noWrap/>
          </w:tcPr>
          <w:p w14:paraId="1C364BB1" w14:textId="078CC49B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4F87" w:rsidRPr="0095764A" w14:paraId="4562ADEA" w14:textId="77777777" w:rsidTr="00B317B9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198EBE62" w14:textId="58EB8EF5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BMI</w:t>
            </w:r>
          </w:p>
        </w:tc>
        <w:tc>
          <w:tcPr>
            <w:tcW w:w="976" w:type="pct"/>
            <w:noWrap/>
            <w:vAlign w:val="bottom"/>
          </w:tcPr>
          <w:p w14:paraId="142A7CA3" w14:textId="4808A2C0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29.8855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326AC70B" w14:textId="752EB127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0E94CAA4" w14:textId="77777777" w:rsidTr="00B317B9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374D942A" w14:textId="7715ACE4" w:rsidR="00F24F87" w:rsidRPr="0095764A" w:rsidRDefault="00F24F87" w:rsidP="00F24F8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 xml:space="preserve">   Systolic Blood Pressure mm/Hg</w:t>
            </w:r>
          </w:p>
        </w:tc>
        <w:tc>
          <w:tcPr>
            <w:tcW w:w="976" w:type="pct"/>
            <w:noWrap/>
            <w:vAlign w:val="bottom"/>
          </w:tcPr>
          <w:p w14:paraId="3639F28A" w14:textId="27D7BAFC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107.0865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7B324BA" w14:textId="4FED7840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75E7895F" w14:textId="77777777" w:rsidTr="00B317B9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FABD040" w14:textId="037718C7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Diastolic Blood Pressure mm/Hg</w:t>
            </w:r>
          </w:p>
        </w:tc>
        <w:tc>
          <w:tcPr>
            <w:tcW w:w="976" w:type="pct"/>
            <w:noWrap/>
            <w:vAlign w:val="bottom"/>
          </w:tcPr>
          <w:p w14:paraId="7D611B29" w14:textId="6569C219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60.62776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FB034D5" w14:textId="5CCDAE15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32AFFAD1" w14:textId="77777777" w:rsidTr="00B317B9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4E8DF1FB" w14:textId="7429D506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Hemoglobin</w:t>
            </w:r>
          </w:p>
        </w:tc>
        <w:tc>
          <w:tcPr>
            <w:tcW w:w="976" w:type="pct"/>
            <w:noWrap/>
            <w:vAlign w:val="bottom"/>
          </w:tcPr>
          <w:p w14:paraId="3688F663" w14:textId="1CC24B4E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201.1006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7CBDB7D" w14:textId="0E8E8141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23A5FCFF" w14:textId="77777777" w:rsidTr="00B317B9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2435E471" w14:textId="16DCECBE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GFR</w:t>
            </w:r>
          </w:p>
        </w:tc>
        <w:tc>
          <w:tcPr>
            <w:tcW w:w="976" w:type="pct"/>
            <w:noWrap/>
            <w:vAlign w:val="bottom"/>
          </w:tcPr>
          <w:p w14:paraId="42898596" w14:textId="4C6B688E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9.845639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37466BE5" w14:textId="6DC79246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10AF3B25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7D3DE826" w14:textId="16FCB61A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 xml:space="preserve">GFR Historical </w:t>
            </w:r>
          </w:p>
        </w:tc>
        <w:tc>
          <w:tcPr>
            <w:tcW w:w="976" w:type="pct"/>
            <w:noWrap/>
            <w:vAlign w:val="bottom"/>
          </w:tcPr>
          <w:p w14:paraId="4AFFEF84" w14:textId="623EEBA2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138.7468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762499E" w14:textId="696B76E3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3B8D8847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2D7CC0F3" w14:textId="6B517F41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Creatinine</w:t>
            </w:r>
          </w:p>
        </w:tc>
        <w:tc>
          <w:tcPr>
            <w:tcW w:w="976" w:type="pct"/>
            <w:noWrap/>
            <w:vAlign w:val="bottom"/>
          </w:tcPr>
          <w:p w14:paraId="26030132" w14:textId="7075CC94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3.345455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43E4CCB1" w14:textId="27677051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3BB0A92D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3FB1EDCD" w14:textId="2AF7CFE2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LD</w:t>
            </w:r>
            <w:r w:rsidR="001A640F">
              <w:rPr>
                <w:rFonts w:ascii="Arial" w:eastAsia="Times New Roman" w:hAnsi="Arial" w:cs="Arial"/>
                <w:color w:val="000000"/>
              </w:rPr>
              <w:t xml:space="preserve">L </w:t>
            </w:r>
            <w:r w:rsidRPr="0095764A">
              <w:rPr>
                <w:rFonts w:ascii="Arial" w:eastAsia="Times New Roman" w:hAnsi="Arial" w:cs="Arial"/>
                <w:color w:val="000000"/>
              </w:rPr>
              <w:t>Cholesterol</w:t>
            </w:r>
          </w:p>
        </w:tc>
        <w:tc>
          <w:tcPr>
            <w:tcW w:w="976" w:type="pct"/>
            <w:noWrap/>
            <w:vAlign w:val="bottom"/>
          </w:tcPr>
          <w:p w14:paraId="27FC9B6E" w14:textId="63BC05FB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39.60541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4116DDD" w14:textId="5485F288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A03E3" w:rsidRPr="0095764A" w14:paraId="565FB499" w14:textId="77777777" w:rsidTr="00A97398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035700CA" w14:textId="73EA2826" w:rsidR="000A03E3" w:rsidRPr="0095764A" w:rsidRDefault="000A03E3" w:rsidP="0025655A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A1c</w:t>
            </w:r>
          </w:p>
        </w:tc>
        <w:tc>
          <w:tcPr>
            <w:tcW w:w="976" w:type="pct"/>
            <w:noWrap/>
          </w:tcPr>
          <w:p w14:paraId="3BC5E5E7" w14:textId="2DB34CF4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698.9043</w:t>
            </w:r>
          </w:p>
        </w:tc>
        <w:tc>
          <w:tcPr>
            <w:tcW w:w="850" w:type="pct"/>
            <w:gridSpan w:val="2"/>
            <w:noWrap/>
          </w:tcPr>
          <w:p w14:paraId="698CB745" w14:textId="44E5830C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2432CBEF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30A025F4" w14:textId="0E64E44D" w:rsidR="00F24F87" w:rsidRPr="0095764A" w:rsidRDefault="001A640F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U</w:t>
            </w:r>
            <w:r w:rsidR="00F24F87" w:rsidRPr="0095764A">
              <w:rPr>
                <w:rFonts w:ascii="Arial" w:eastAsia="Times New Roman" w:hAnsi="Arial" w:cs="Arial"/>
                <w:color w:val="000000"/>
              </w:rPr>
              <w:t>rine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24F87" w:rsidRPr="0095764A">
              <w:rPr>
                <w:rFonts w:ascii="Arial" w:eastAsia="Times New Roman" w:hAnsi="Arial" w:cs="Arial"/>
                <w:color w:val="000000"/>
              </w:rPr>
              <w:t xml:space="preserve">protein </w:t>
            </w:r>
          </w:p>
        </w:tc>
        <w:tc>
          <w:tcPr>
            <w:tcW w:w="976" w:type="pct"/>
            <w:noWrap/>
            <w:vAlign w:val="bottom"/>
          </w:tcPr>
          <w:p w14:paraId="0ADCC95A" w14:textId="6371F802" w:rsidR="00F24F87" w:rsidRPr="0095764A" w:rsidRDefault="00F24F87" w:rsidP="00F24F87">
            <w:pPr>
              <w:spacing w:line="276" w:lineRule="auto"/>
              <w:ind w:firstLin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43.71378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47B95E8" w14:textId="2437E5CE" w:rsidR="00F24F87" w:rsidRPr="0095764A" w:rsidRDefault="00F24F87" w:rsidP="00F24F87">
            <w:pPr>
              <w:spacing w:line="276" w:lineRule="auto"/>
              <w:ind w:firstLin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4F87" w:rsidRPr="0095764A" w14:paraId="5C45C2B9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1F5B6CA2" w14:textId="0D52C963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MACR</w:t>
            </w:r>
          </w:p>
        </w:tc>
        <w:tc>
          <w:tcPr>
            <w:tcW w:w="976" w:type="pct"/>
            <w:noWrap/>
            <w:vAlign w:val="bottom"/>
          </w:tcPr>
          <w:p w14:paraId="1163332F" w14:textId="0E73DD02" w:rsidR="00F24F87" w:rsidRPr="0095764A" w:rsidRDefault="00F24F87" w:rsidP="00F24F87">
            <w:pPr>
              <w:spacing w:line="276" w:lineRule="auto"/>
              <w:ind w:firstLin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12.9172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0F4D96B" w14:textId="22F4E14E" w:rsidR="00F24F87" w:rsidRPr="0095764A" w:rsidRDefault="00F24F87" w:rsidP="00F24F87">
            <w:pPr>
              <w:spacing w:line="276" w:lineRule="auto"/>
              <w:ind w:firstLine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A03E3" w:rsidRPr="0095764A" w14:paraId="471259B5" w14:textId="77777777" w:rsidTr="00A97398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BC663D2" w14:textId="74617406" w:rsidR="000A03E3" w:rsidRPr="0095764A" w:rsidRDefault="000A03E3" w:rsidP="0025655A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5764A">
              <w:rPr>
                <w:rFonts w:ascii="Arial" w:eastAsia="Times New Roman" w:hAnsi="Arial" w:cs="Arial"/>
                <w:b/>
                <w:color w:val="000000"/>
              </w:rPr>
              <w:t xml:space="preserve">Healthcare Utilization </w:t>
            </w:r>
          </w:p>
        </w:tc>
        <w:tc>
          <w:tcPr>
            <w:tcW w:w="976" w:type="pct"/>
            <w:noWrap/>
          </w:tcPr>
          <w:p w14:paraId="14F03A85" w14:textId="701C9A4F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noWrap/>
          </w:tcPr>
          <w:p w14:paraId="5F01C1E1" w14:textId="1C3F11E3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  <w:noWrap/>
          </w:tcPr>
          <w:p w14:paraId="6177AC1A" w14:textId="004CC570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4F87" w:rsidRPr="0095764A" w14:paraId="33928FAD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26083CB0" w14:textId="5EA1201A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VA hospitalizations last year </w:t>
            </w:r>
          </w:p>
        </w:tc>
        <w:tc>
          <w:tcPr>
            <w:tcW w:w="976" w:type="pct"/>
            <w:noWrap/>
            <w:vAlign w:val="bottom"/>
          </w:tcPr>
          <w:p w14:paraId="250CEDCD" w14:textId="0AC7A6DD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3.263972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64C6A41B" w14:textId="7E694A68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2791522E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189EC0F5" w14:textId="439233E7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VA hospitalizations last 30 days</w:t>
            </w:r>
          </w:p>
        </w:tc>
        <w:tc>
          <w:tcPr>
            <w:tcW w:w="976" w:type="pct"/>
            <w:noWrap/>
            <w:vAlign w:val="bottom"/>
          </w:tcPr>
          <w:p w14:paraId="1D5D3A11" w14:textId="619BB759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0.240846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E52BFB4" w14:textId="7C98402D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76B7F9BA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0D0A76DF" w14:textId="25213021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Medicare/ Medicaid hospitalizations last year </w:t>
            </w:r>
          </w:p>
        </w:tc>
        <w:tc>
          <w:tcPr>
            <w:tcW w:w="976" w:type="pct"/>
            <w:noWrap/>
            <w:vAlign w:val="bottom"/>
          </w:tcPr>
          <w:p w14:paraId="657EF96A" w14:textId="56A60313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0.169064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6FED1E80" w14:textId="1B5F3E1C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757260E5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0AF43DB3" w14:textId="13C39140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Medicare/ Medicaid hospitalizations last 30 days</w:t>
            </w:r>
          </w:p>
        </w:tc>
        <w:tc>
          <w:tcPr>
            <w:tcW w:w="976" w:type="pct"/>
            <w:noWrap/>
            <w:vAlign w:val="bottom"/>
          </w:tcPr>
          <w:p w14:paraId="56EFA982" w14:textId="050237E4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0.309831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CD57EE9" w14:textId="0B45CD2F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5FFA7D01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3FFC307F" w14:textId="592D5157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Medicaid use </w:t>
            </w:r>
          </w:p>
        </w:tc>
        <w:tc>
          <w:tcPr>
            <w:tcW w:w="976" w:type="pct"/>
            <w:noWrap/>
            <w:vAlign w:val="bottom"/>
          </w:tcPr>
          <w:p w14:paraId="48DD42FD" w14:textId="33A63989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2.571839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5A2C207" w14:textId="3548471B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0422FDFF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279A6FDF" w14:textId="374D8C69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Medicare Use </w:t>
            </w:r>
          </w:p>
        </w:tc>
        <w:tc>
          <w:tcPr>
            <w:tcW w:w="976" w:type="pct"/>
            <w:noWrap/>
            <w:vAlign w:val="bottom"/>
          </w:tcPr>
          <w:p w14:paraId="6AC2960D" w14:textId="1CD668F6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1.992842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9C5CBAA" w14:textId="633773E4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2AA0A961" w14:textId="77777777" w:rsidTr="00B317B9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D76CCD1" w14:textId="504B40BD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Nursing Home Use </w:t>
            </w:r>
          </w:p>
        </w:tc>
        <w:tc>
          <w:tcPr>
            <w:tcW w:w="976" w:type="pct"/>
            <w:noWrap/>
            <w:vAlign w:val="bottom"/>
          </w:tcPr>
          <w:p w14:paraId="619C5C12" w14:textId="1CA749BD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4.540011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64AB222" w14:textId="0A3F6B2E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1352AB73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6A746EDE" w14:textId="34D5E3B1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Number of Outpatient visits</w:t>
            </w:r>
          </w:p>
        </w:tc>
        <w:tc>
          <w:tcPr>
            <w:tcW w:w="976" w:type="pct"/>
            <w:noWrap/>
            <w:vAlign w:val="bottom"/>
          </w:tcPr>
          <w:p w14:paraId="0FCE3875" w14:textId="0C080410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7.148963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620C7789" w14:textId="0621A637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0225B93F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C3EEDF4" w14:textId="38DDEB96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Number of Outpatient medications</w:t>
            </w:r>
          </w:p>
        </w:tc>
        <w:tc>
          <w:tcPr>
            <w:tcW w:w="976" w:type="pct"/>
            <w:noWrap/>
            <w:vAlign w:val="bottom"/>
          </w:tcPr>
          <w:p w14:paraId="753B7F22" w14:textId="16647AE1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2.088823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57199CA" w14:textId="2BFFA828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24F87" w:rsidRPr="0095764A" w14:paraId="0FAD663F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6CFFED72" w14:textId="4D1940FB" w:rsidR="00F24F87" w:rsidRPr="0095764A" w:rsidRDefault="00F24F87" w:rsidP="00F24F87">
            <w:pPr>
              <w:spacing w:line="276" w:lineRule="auto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Medicare Advantage </w:t>
            </w:r>
          </w:p>
        </w:tc>
        <w:tc>
          <w:tcPr>
            <w:tcW w:w="976" w:type="pct"/>
            <w:noWrap/>
            <w:vAlign w:val="bottom"/>
          </w:tcPr>
          <w:p w14:paraId="314525A0" w14:textId="59FDDEB5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0.13032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457409EB" w14:textId="21146228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A03E3" w:rsidRPr="0095764A" w14:paraId="70EA17D2" w14:textId="77777777" w:rsidTr="00A97398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08977674" w14:textId="5FA0D523" w:rsidR="000A03E3" w:rsidRPr="0095764A" w:rsidRDefault="000A03E3" w:rsidP="0025655A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5764A">
              <w:rPr>
                <w:rFonts w:ascii="Arial" w:eastAsia="Times New Roman" w:hAnsi="Arial" w:cs="Arial"/>
                <w:b/>
                <w:color w:val="000000"/>
              </w:rPr>
              <w:t xml:space="preserve">Comorbidities </w:t>
            </w:r>
          </w:p>
        </w:tc>
        <w:tc>
          <w:tcPr>
            <w:tcW w:w="976" w:type="pct"/>
            <w:noWrap/>
          </w:tcPr>
          <w:p w14:paraId="35A7F75D" w14:textId="72F4EBD4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noWrap/>
          </w:tcPr>
          <w:p w14:paraId="07C97F9C" w14:textId="2D84ACB4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  <w:noWrap/>
          </w:tcPr>
          <w:p w14:paraId="58312876" w14:textId="7B921035" w:rsidR="000A03E3" w:rsidRPr="0095764A" w:rsidRDefault="000A03E3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F24F87" w:rsidRPr="0095764A" w14:paraId="34A04225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08F8D8B" w14:textId="0CA76436" w:rsidR="00F24F87" w:rsidRPr="0095764A" w:rsidRDefault="00F24F87" w:rsidP="00F24F87">
            <w:pPr>
              <w:spacing w:line="276" w:lineRule="auto"/>
              <w:ind w:firstLine="255"/>
              <w:rPr>
                <w:rFonts w:ascii="Arial" w:eastAsia="Times New Roman" w:hAnsi="Arial" w:cs="Arial"/>
                <w:b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Malignancy </w:t>
            </w:r>
          </w:p>
        </w:tc>
        <w:tc>
          <w:tcPr>
            <w:tcW w:w="976" w:type="pct"/>
            <w:noWrap/>
            <w:vAlign w:val="bottom"/>
          </w:tcPr>
          <w:p w14:paraId="2E35F3D9" w14:textId="46A48884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8.022282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210AC124" w14:textId="33017F42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5870DFE5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5BA9CA1" w14:textId="243F183A" w:rsidR="00F24F87" w:rsidRPr="0095764A" w:rsidRDefault="00F24F87" w:rsidP="00F24F87">
            <w:pPr>
              <w:spacing w:line="276" w:lineRule="auto"/>
              <w:ind w:firstLine="255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Liver_disease </w:t>
            </w:r>
          </w:p>
        </w:tc>
        <w:tc>
          <w:tcPr>
            <w:tcW w:w="976" w:type="pct"/>
            <w:noWrap/>
            <w:vAlign w:val="bottom"/>
          </w:tcPr>
          <w:p w14:paraId="1317B039" w14:textId="3A192759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169.9393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622FA243" w14:textId="1FD9D1CE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09643D67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C87FF76" w14:textId="78723A2E" w:rsidR="00F24F87" w:rsidRPr="0095764A" w:rsidRDefault="00F24F87" w:rsidP="00F24F87">
            <w:pPr>
              <w:spacing w:line="276" w:lineRule="auto"/>
              <w:ind w:firstLine="255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HIV </w:t>
            </w:r>
          </w:p>
        </w:tc>
        <w:tc>
          <w:tcPr>
            <w:tcW w:w="976" w:type="pct"/>
            <w:noWrap/>
            <w:vAlign w:val="bottom"/>
          </w:tcPr>
          <w:p w14:paraId="68604315" w14:textId="339FDE14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3.621022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4778CE0" w14:textId="797FEDFC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05D728E8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3291F16D" w14:textId="500372B6" w:rsidR="00F24F87" w:rsidRPr="0095764A" w:rsidRDefault="00F24F87" w:rsidP="00F24F87">
            <w:pPr>
              <w:spacing w:line="276" w:lineRule="auto"/>
              <w:ind w:firstLine="255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CHF</w:t>
            </w:r>
          </w:p>
        </w:tc>
        <w:tc>
          <w:tcPr>
            <w:tcW w:w="976" w:type="pct"/>
            <w:noWrap/>
            <w:vAlign w:val="bottom"/>
          </w:tcPr>
          <w:p w14:paraId="23E7A476" w14:textId="2CC3486E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125.5744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C71D3CD" w14:textId="58BC1558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5202D328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78FDF933" w14:textId="6F5D3DB2" w:rsidR="00F24F87" w:rsidRPr="0095764A" w:rsidRDefault="00F24F87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CVD </w:t>
            </w:r>
          </w:p>
        </w:tc>
        <w:tc>
          <w:tcPr>
            <w:tcW w:w="976" w:type="pct"/>
            <w:noWrap/>
            <w:vAlign w:val="bottom"/>
          </w:tcPr>
          <w:p w14:paraId="424E09D8" w14:textId="02138529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14.79575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155DFEC0" w14:textId="03A48663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3583CF29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20D1F07C" w14:textId="1CAF187C" w:rsidR="00F24F87" w:rsidRPr="0095764A" w:rsidRDefault="00F24F87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Stroke </w:t>
            </w:r>
          </w:p>
        </w:tc>
        <w:tc>
          <w:tcPr>
            <w:tcW w:w="976" w:type="pct"/>
            <w:noWrap/>
            <w:vAlign w:val="bottom"/>
          </w:tcPr>
          <w:p w14:paraId="310381BD" w14:textId="574ABED3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1.23538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6757FCA2" w14:textId="114E13F2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4CEFF134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F3CFC95" w14:textId="2C0543A4" w:rsidR="00F24F87" w:rsidRPr="0095764A" w:rsidRDefault="00F24F87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TIA</w:t>
            </w:r>
          </w:p>
        </w:tc>
        <w:tc>
          <w:tcPr>
            <w:tcW w:w="976" w:type="pct"/>
            <w:noWrap/>
            <w:vAlign w:val="bottom"/>
          </w:tcPr>
          <w:p w14:paraId="71B2AF8D" w14:textId="26F1FEDD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0.173177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464129DE" w14:textId="0C322244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1DAA6DFF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E45A9A3" w14:textId="3E11D51E" w:rsidR="00F24F87" w:rsidRPr="0095764A" w:rsidRDefault="00F24F87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Serious_Mental_Illness </w:t>
            </w:r>
          </w:p>
        </w:tc>
        <w:tc>
          <w:tcPr>
            <w:tcW w:w="976" w:type="pct"/>
            <w:noWrap/>
            <w:vAlign w:val="bottom"/>
          </w:tcPr>
          <w:p w14:paraId="6189A276" w14:textId="4595C5B1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10.02042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103007DD" w14:textId="009A6467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3C031AD0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16B8357" w14:textId="4D29B5FE" w:rsidR="00F24F87" w:rsidRPr="0095764A" w:rsidRDefault="00F24F87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Smoking </w:t>
            </w:r>
          </w:p>
        </w:tc>
        <w:tc>
          <w:tcPr>
            <w:tcW w:w="976" w:type="pct"/>
            <w:noWrap/>
            <w:vAlign w:val="bottom"/>
          </w:tcPr>
          <w:p w14:paraId="249A8A55" w14:textId="2FC5804B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0.307618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6E28B35" w14:textId="544B2103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57124342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E287DFE" w14:textId="098007EA" w:rsidR="00F24F87" w:rsidRPr="0095764A" w:rsidRDefault="00F24F87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Chronic Obstructive Pulmonary Disease </w:t>
            </w:r>
          </w:p>
        </w:tc>
        <w:tc>
          <w:tcPr>
            <w:tcW w:w="976" w:type="pct"/>
            <w:noWrap/>
            <w:vAlign w:val="bottom"/>
          </w:tcPr>
          <w:p w14:paraId="527670B5" w14:textId="308C9FC5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0.590587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2A609A75" w14:textId="50397190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24F87" w:rsidRPr="0095764A" w14:paraId="0E477DB3" w14:textId="77777777" w:rsidTr="00B317B9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2AB2320" w14:textId="72992E08" w:rsidR="00F24F87" w:rsidRPr="0095764A" w:rsidRDefault="00F24F87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Respiratory</w:t>
            </w:r>
            <w:r w:rsidR="001A64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5764A">
              <w:rPr>
                <w:rFonts w:ascii="Arial" w:eastAsia="Times New Roman" w:hAnsi="Arial" w:cs="Arial"/>
                <w:color w:val="000000"/>
              </w:rPr>
              <w:t xml:space="preserve">failure </w:t>
            </w:r>
          </w:p>
        </w:tc>
        <w:tc>
          <w:tcPr>
            <w:tcW w:w="976" w:type="pct"/>
            <w:noWrap/>
            <w:vAlign w:val="bottom"/>
          </w:tcPr>
          <w:p w14:paraId="2A6F6EE6" w14:textId="47249C34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0.906836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25FDA248" w14:textId="47A8F617" w:rsidR="00F24F87" w:rsidRPr="0095764A" w:rsidRDefault="00F24F87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0F242D38" w14:textId="77777777" w:rsidTr="00EF05A7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B763A4C" w14:textId="124BB52D" w:rsidR="001A640F" w:rsidRPr="0095764A" w:rsidRDefault="001A640F" w:rsidP="0025655A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Sepsis </w:t>
            </w:r>
          </w:p>
        </w:tc>
        <w:tc>
          <w:tcPr>
            <w:tcW w:w="976" w:type="pct"/>
            <w:noWrap/>
            <w:vAlign w:val="bottom"/>
          </w:tcPr>
          <w:p w14:paraId="01A76183" w14:textId="23A9BC95" w:rsidR="001A640F" w:rsidRPr="0095764A" w:rsidRDefault="001A640F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3.468575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DF084D0" w14:textId="3F96205C" w:rsidR="001A640F" w:rsidRPr="0095764A" w:rsidRDefault="001A640F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56CBD274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67ADF1D3" w14:textId="07B212D4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Pneumonia </w:t>
            </w:r>
          </w:p>
        </w:tc>
        <w:tc>
          <w:tcPr>
            <w:tcW w:w="976" w:type="pct"/>
            <w:noWrap/>
            <w:vAlign w:val="bottom"/>
          </w:tcPr>
          <w:p w14:paraId="17231587" w14:textId="0692D208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8.171519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19406768" w14:textId="3CD9230C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1029A168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64558587" w14:textId="4F5B33D1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Arrhythmias </w:t>
            </w:r>
          </w:p>
        </w:tc>
        <w:tc>
          <w:tcPr>
            <w:tcW w:w="976" w:type="pct"/>
            <w:noWrap/>
            <w:vAlign w:val="bottom"/>
          </w:tcPr>
          <w:p w14:paraId="3FF080A2" w14:textId="3BF3372E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0.003055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3A9C1049" w14:textId="0C0D1123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3D4FFD62" w14:textId="77777777" w:rsidTr="00B317B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2821C0F0" w14:textId="65D2E6C8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lastRenderedPageBreak/>
              <w:t xml:space="preserve">Cardiac valve </w:t>
            </w:r>
          </w:p>
        </w:tc>
        <w:tc>
          <w:tcPr>
            <w:tcW w:w="976" w:type="pct"/>
            <w:noWrap/>
            <w:vAlign w:val="bottom"/>
          </w:tcPr>
          <w:p w14:paraId="31F38CD5" w14:textId="16C5A839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0.016925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17F56C7F" w14:textId="4165F1A8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4AB67D18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0B869C0" w14:textId="08B419DC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Parkinson </w:t>
            </w:r>
          </w:p>
        </w:tc>
        <w:tc>
          <w:tcPr>
            <w:tcW w:w="976" w:type="pct"/>
            <w:noWrap/>
            <w:vAlign w:val="bottom"/>
          </w:tcPr>
          <w:p w14:paraId="7DBDB9B9" w14:textId="33F4E61C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4.46838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3BE685C" w14:textId="27E72A23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389EA9D7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5E9DC3B" w14:textId="726566AC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Urinary Tract Infection </w:t>
            </w:r>
          </w:p>
        </w:tc>
        <w:tc>
          <w:tcPr>
            <w:tcW w:w="976" w:type="pct"/>
            <w:noWrap/>
            <w:vAlign w:val="bottom"/>
          </w:tcPr>
          <w:p w14:paraId="07B2AD76" w14:textId="002D8577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9.851086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FD20F37" w14:textId="78F31430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7ED1BC0D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39E6767F" w14:textId="4AA1D7D7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Osteomyelitis </w:t>
            </w:r>
          </w:p>
        </w:tc>
        <w:tc>
          <w:tcPr>
            <w:tcW w:w="976" w:type="pct"/>
            <w:noWrap/>
            <w:vAlign w:val="bottom"/>
          </w:tcPr>
          <w:p w14:paraId="595CB45C" w14:textId="29AF2868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5.018306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246BD1C" w14:textId="0C556ABA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27054DFD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F28399B" w14:textId="5399D766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Osteoporosis </w:t>
            </w:r>
          </w:p>
        </w:tc>
        <w:tc>
          <w:tcPr>
            <w:tcW w:w="976" w:type="pct"/>
            <w:noWrap/>
            <w:vAlign w:val="bottom"/>
          </w:tcPr>
          <w:p w14:paraId="5536C4F3" w14:textId="45B580CC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0.000319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624C5FD5" w14:textId="2819AC99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731B10A4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118DB410" w14:textId="056975DB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Falls </w:t>
            </w:r>
          </w:p>
        </w:tc>
        <w:tc>
          <w:tcPr>
            <w:tcW w:w="976" w:type="pct"/>
            <w:noWrap/>
            <w:vAlign w:val="bottom"/>
          </w:tcPr>
          <w:p w14:paraId="0441726D" w14:textId="2512BB75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0.432892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D1393D3" w14:textId="698DD001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0D4068BE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05A61AE" w14:textId="23C0BE02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Fractures </w:t>
            </w:r>
          </w:p>
        </w:tc>
        <w:tc>
          <w:tcPr>
            <w:tcW w:w="976" w:type="pct"/>
            <w:noWrap/>
            <w:vAlign w:val="bottom"/>
          </w:tcPr>
          <w:p w14:paraId="56624506" w14:textId="7F3A811C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10.50717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5ADF297" w14:textId="52C339CB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42C06CC8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AFF0B59" w14:textId="09A712F9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Amputation </w:t>
            </w:r>
          </w:p>
        </w:tc>
        <w:tc>
          <w:tcPr>
            <w:tcW w:w="976" w:type="pct"/>
            <w:noWrap/>
            <w:vAlign w:val="bottom"/>
          </w:tcPr>
          <w:p w14:paraId="25635CBB" w14:textId="42D7A069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7.806046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F9A6FD0" w14:textId="3F86D190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5BB6F804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6BCC38D" w14:textId="6BC1F0D2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Retinopathy </w:t>
            </w:r>
          </w:p>
        </w:tc>
        <w:tc>
          <w:tcPr>
            <w:tcW w:w="976" w:type="pct"/>
            <w:noWrap/>
            <w:vAlign w:val="bottom"/>
          </w:tcPr>
          <w:p w14:paraId="22A6D2D0" w14:textId="69AFE802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23.772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C956E59" w14:textId="54A79A33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0CD0B035" w14:textId="77777777" w:rsidTr="00EF05A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3D760429" w14:textId="17CF6936" w:rsidR="001A640F" w:rsidRPr="0095764A" w:rsidRDefault="001A640F" w:rsidP="00F24F87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b/>
                <w:color w:val="000000"/>
              </w:rPr>
              <w:t>Medications</w:t>
            </w:r>
          </w:p>
        </w:tc>
        <w:tc>
          <w:tcPr>
            <w:tcW w:w="976" w:type="pct"/>
            <w:noWrap/>
          </w:tcPr>
          <w:p w14:paraId="738A6984" w14:textId="0B03EA54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850" w:type="pct"/>
            <w:gridSpan w:val="2"/>
            <w:noWrap/>
          </w:tcPr>
          <w:p w14:paraId="0EAC8E03" w14:textId="3041445A" w:rsidR="001A640F" w:rsidRPr="0095764A" w:rsidRDefault="001A640F" w:rsidP="00F24F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1A640F" w:rsidRPr="0095764A" w14:paraId="0248F0CF" w14:textId="77777777" w:rsidTr="00EF05A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6B1A15E9" w14:textId="579E32B8" w:rsidR="001A640F" w:rsidRPr="0095764A" w:rsidRDefault="00752F7A" w:rsidP="0025655A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1A640F" w:rsidRPr="0095764A">
              <w:rPr>
                <w:rFonts w:ascii="Arial" w:eastAsia="Times New Roman" w:hAnsi="Arial" w:cs="Arial"/>
                <w:color w:val="000000"/>
              </w:rPr>
              <w:t>ACE</w:t>
            </w:r>
          </w:p>
        </w:tc>
        <w:tc>
          <w:tcPr>
            <w:tcW w:w="976" w:type="pct"/>
            <w:noWrap/>
            <w:vAlign w:val="bottom"/>
          </w:tcPr>
          <w:p w14:paraId="62C78301" w14:textId="04C432E2" w:rsidR="001A640F" w:rsidRPr="0095764A" w:rsidRDefault="001A640F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1.987049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635A006" w14:textId="75E0BB6D" w:rsidR="001A640F" w:rsidRPr="0095764A" w:rsidRDefault="001A640F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0BA746DE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D617CCF" w14:textId="48A3444C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ARB</w:t>
            </w:r>
          </w:p>
        </w:tc>
        <w:tc>
          <w:tcPr>
            <w:tcW w:w="976" w:type="pct"/>
            <w:noWrap/>
            <w:vAlign w:val="bottom"/>
          </w:tcPr>
          <w:p w14:paraId="1FFE1A9F" w14:textId="57844FC9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5.368021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391CE62" w14:textId="34E81964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2649647C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434AD498" w14:textId="205FD0E9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Beta Blocker</w:t>
            </w:r>
          </w:p>
        </w:tc>
        <w:tc>
          <w:tcPr>
            <w:tcW w:w="976" w:type="pct"/>
            <w:noWrap/>
            <w:vAlign w:val="bottom"/>
          </w:tcPr>
          <w:p w14:paraId="28CAA92F" w14:textId="65570487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1.423361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1E9070F0" w14:textId="2A79B763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160B6AD5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3FC66724" w14:textId="4CF4689F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Calcium Channel Blocker </w:t>
            </w:r>
          </w:p>
        </w:tc>
        <w:tc>
          <w:tcPr>
            <w:tcW w:w="976" w:type="pct"/>
            <w:noWrap/>
            <w:vAlign w:val="bottom"/>
          </w:tcPr>
          <w:p w14:paraId="396FA02D" w14:textId="5FE06EF3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0.171432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3C86AF9A" w14:textId="58612CB7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6D2C175E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4F0E3695" w14:textId="67F1C074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Thiazide diuretics </w:t>
            </w:r>
          </w:p>
        </w:tc>
        <w:tc>
          <w:tcPr>
            <w:tcW w:w="976" w:type="pct"/>
            <w:noWrap/>
            <w:vAlign w:val="bottom"/>
          </w:tcPr>
          <w:p w14:paraId="6F50DDB9" w14:textId="4A2EF5F7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17.2478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012D2C2" w14:textId="1A4E5BE0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71CF1EBD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4F896883" w14:textId="3EF981AB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Loop diuretics </w:t>
            </w:r>
          </w:p>
        </w:tc>
        <w:tc>
          <w:tcPr>
            <w:tcW w:w="976" w:type="pct"/>
            <w:noWrap/>
            <w:vAlign w:val="bottom"/>
          </w:tcPr>
          <w:p w14:paraId="657B3856" w14:textId="1433824F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115.488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38C17C6C" w14:textId="794F1F3B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724A72BA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31DB1AE4" w14:textId="7A14D021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Other Antihypertensives </w:t>
            </w:r>
          </w:p>
        </w:tc>
        <w:tc>
          <w:tcPr>
            <w:tcW w:w="976" w:type="pct"/>
            <w:noWrap/>
            <w:vAlign w:val="bottom"/>
          </w:tcPr>
          <w:p w14:paraId="3DA37BC3" w14:textId="0021FDEF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0.116276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151218B4" w14:textId="25448F16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1065086D" w14:textId="77777777" w:rsidTr="00B317B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2D203265" w14:textId="6576E5FE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Statins</w:t>
            </w:r>
          </w:p>
        </w:tc>
        <w:tc>
          <w:tcPr>
            <w:tcW w:w="976" w:type="pct"/>
            <w:noWrap/>
            <w:vAlign w:val="bottom"/>
          </w:tcPr>
          <w:p w14:paraId="473A2B07" w14:textId="58101532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244.3769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0E80718" w14:textId="296B2174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5D2D9BD3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0F00F5DF" w14:textId="2C3354D3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Non Statin lipid lowering medications </w:t>
            </w:r>
          </w:p>
        </w:tc>
        <w:tc>
          <w:tcPr>
            <w:tcW w:w="976" w:type="pct"/>
            <w:noWrap/>
            <w:vAlign w:val="bottom"/>
          </w:tcPr>
          <w:p w14:paraId="32E52F4C" w14:textId="570C9A9A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34.2055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4745D5F3" w14:textId="5C21CF7B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6CBB7161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39BFD19B" w14:textId="57085B4D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Antiarrythmics </w:t>
            </w:r>
          </w:p>
        </w:tc>
        <w:tc>
          <w:tcPr>
            <w:tcW w:w="976" w:type="pct"/>
            <w:noWrap/>
            <w:vAlign w:val="bottom"/>
          </w:tcPr>
          <w:p w14:paraId="0ED90CFD" w14:textId="7710EBE3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11.9631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CDEDC6F" w14:textId="43CB722E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589B1B79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6DF97505" w14:textId="5ADBA13B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Anticoagulants </w:t>
            </w:r>
          </w:p>
        </w:tc>
        <w:tc>
          <w:tcPr>
            <w:tcW w:w="976" w:type="pct"/>
            <w:noWrap/>
            <w:vAlign w:val="bottom"/>
          </w:tcPr>
          <w:p w14:paraId="160B387B" w14:textId="4702B44A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0.353897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40E0322" w14:textId="0CA08D55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780A0FE8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5179CEFE" w14:textId="5D652DA5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Nitrates </w:t>
            </w:r>
          </w:p>
        </w:tc>
        <w:tc>
          <w:tcPr>
            <w:tcW w:w="976" w:type="pct"/>
            <w:noWrap/>
            <w:vAlign w:val="bottom"/>
          </w:tcPr>
          <w:p w14:paraId="4906BE8A" w14:textId="285A6327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21.46618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2D31CF2" w14:textId="7CFF52A8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52A8B35C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351126A1" w14:textId="72B520C9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Aspirin </w:t>
            </w:r>
          </w:p>
        </w:tc>
        <w:tc>
          <w:tcPr>
            <w:tcW w:w="976" w:type="pct"/>
            <w:noWrap/>
            <w:vAlign w:val="bottom"/>
          </w:tcPr>
          <w:p w14:paraId="6E03B5E4" w14:textId="072776F1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0.097639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24B519BA" w14:textId="03BB9ECC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3761CEFD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2CF5B281" w14:textId="3B983972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Platelet Inhibitors Non aspirin </w:t>
            </w:r>
          </w:p>
        </w:tc>
        <w:tc>
          <w:tcPr>
            <w:tcW w:w="976" w:type="pct"/>
            <w:noWrap/>
            <w:vAlign w:val="bottom"/>
          </w:tcPr>
          <w:p w14:paraId="68CDCFC9" w14:textId="1B99B150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7.564502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8015D37" w14:textId="4FE5C50E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55BD1BC2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3E4E88BE" w14:textId="7FAAF50B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Antipsychotics </w:t>
            </w:r>
          </w:p>
        </w:tc>
        <w:tc>
          <w:tcPr>
            <w:tcW w:w="976" w:type="pct"/>
            <w:noWrap/>
            <w:vAlign w:val="bottom"/>
          </w:tcPr>
          <w:p w14:paraId="65E0A9C7" w14:textId="5A5CEA53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2.699288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42691E53" w14:textId="59E4D34B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00737F58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AA971D6" w14:textId="780FBF22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 xml:space="preserve">Oral Glucocorticoids </w:t>
            </w:r>
          </w:p>
        </w:tc>
        <w:tc>
          <w:tcPr>
            <w:tcW w:w="976" w:type="pct"/>
            <w:noWrap/>
            <w:vAlign w:val="bottom"/>
          </w:tcPr>
          <w:p w14:paraId="3180FECD" w14:textId="06F51921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9.341242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C9D0FCA" w14:textId="22553D19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57BE848F" w14:textId="77777777" w:rsidTr="00EF05A7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  <w:hideMark/>
          </w:tcPr>
          <w:p w14:paraId="495E6E59" w14:textId="4C1F3385" w:rsidR="001A640F" w:rsidRPr="0095764A" w:rsidRDefault="001A640F" w:rsidP="00F82AB3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b/>
                <w:color w:val="000000"/>
              </w:rPr>
              <w:t xml:space="preserve">Indicators of Missing Clinical Variables </w:t>
            </w:r>
          </w:p>
        </w:tc>
        <w:tc>
          <w:tcPr>
            <w:tcW w:w="976" w:type="pct"/>
            <w:noWrap/>
          </w:tcPr>
          <w:p w14:paraId="46BC1E14" w14:textId="64084B2F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pct"/>
            <w:gridSpan w:val="2"/>
            <w:noWrap/>
          </w:tcPr>
          <w:p w14:paraId="18DC553B" w14:textId="2D392A0F" w:rsidR="001A640F" w:rsidRPr="0095764A" w:rsidRDefault="001A640F" w:rsidP="00F82A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A640F" w:rsidRPr="0095764A" w14:paraId="515C687C" w14:textId="77777777" w:rsidTr="00EF05A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7C3C171B" w14:textId="36E5F5AE" w:rsidR="001A640F" w:rsidRPr="0095764A" w:rsidRDefault="00EF05A7" w:rsidP="0025655A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1A640F" w:rsidRPr="0095764A">
              <w:rPr>
                <w:rFonts w:ascii="Arial" w:eastAsia="Times New Roman" w:hAnsi="Arial" w:cs="Arial"/>
                <w:color w:val="000000"/>
              </w:rPr>
              <w:t>BMI_Missing</w:t>
            </w:r>
          </w:p>
        </w:tc>
        <w:tc>
          <w:tcPr>
            <w:tcW w:w="976" w:type="pct"/>
            <w:noWrap/>
            <w:vAlign w:val="bottom"/>
          </w:tcPr>
          <w:p w14:paraId="284F67B0" w14:textId="7CA96FCB" w:rsidR="001A640F" w:rsidRPr="0095764A" w:rsidRDefault="001A640F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13.61474</w:t>
            </w:r>
          </w:p>
        </w:tc>
        <w:tc>
          <w:tcPr>
            <w:tcW w:w="514" w:type="pct"/>
            <w:noWrap/>
            <w:vAlign w:val="bottom"/>
          </w:tcPr>
          <w:p w14:paraId="09498E9A" w14:textId="7242FFC1" w:rsidR="001A640F" w:rsidRPr="0095764A" w:rsidRDefault="00EF05A7" w:rsidP="0025655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="001A640F" w:rsidRPr="009576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" w:type="pct"/>
            <w:noWrap/>
          </w:tcPr>
          <w:p w14:paraId="65F05E3E" w14:textId="77777777" w:rsidR="001A640F" w:rsidRPr="0095764A" w:rsidRDefault="001A640F" w:rsidP="00EF05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1A640F" w:rsidRPr="0095764A" w14:paraId="49754085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5C256E08" w14:textId="10D016A3" w:rsidR="001A640F" w:rsidRPr="0095764A" w:rsidRDefault="001A640F" w:rsidP="00302599">
            <w:pPr>
              <w:spacing w:line="276" w:lineRule="auto"/>
              <w:ind w:firstLine="270"/>
              <w:rPr>
                <w:rFonts w:ascii="Arial" w:eastAsia="Times New Roman" w:hAnsi="Arial" w:cs="Arial"/>
                <w:b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Blood_Pressure_Missing</w:t>
            </w:r>
          </w:p>
        </w:tc>
        <w:tc>
          <w:tcPr>
            <w:tcW w:w="976" w:type="pct"/>
            <w:noWrap/>
            <w:vAlign w:val="bottom"/>
          </w:tcPr>
          <w:p w14:paraId="22FB0273" w14:textId="38AFB637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0.161964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2C581047" w14:textId="15F2E93A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3C4976EB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46078284" w14:textId="08350942" w:rsidR="001A640F" w:rsidRPr="0095764A" w:rsidRDefault="001A640F" w:rsidP="00302599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hemoglobin_Missing</w:t>
            </w:r>
          </w:p>
        </w:tc>
        <w:tc>
          <w:tcPr>
            <w:tcW w:w="976" w:type="pct"/>
            <w:noWrap/>
            <w:vAlign w:val="bottom"/>
          </w:tcPr>
          <w:p w14:paraId="2926EAB4" w14:textId="1DACD850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26.7989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01CD4E82" w14:textId="31C255A1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6AA004DD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233F57C5" w14:textId="660064F8" w:rsidR="001A640F" w:rsidRPr="0095764A" w:rsidRDefault="001A640F" w:rsidP="00302599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GFR Historical</w:t>
            </w:r>
          </w:p>
        </w:tc>
        <w:tc>
          <w:tcPr>
            <w:tcW w:w="976" w:type="pct"/>
            <w:noWrap/>
            <w:vAlign w:val="bottom"/>
          </w:tcPr>
          <w:p w14:paraId="5016F084" w14:textId="65073C76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34.83963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2E0756F7" w14:textId="6C272CE3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03F6A61E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1C2D9F63" w14:textId="1F7AF898" w:rsidR="001A640F" w:rsidRPr="0095764A" w:rsidRDefault="001A640F" w:rsidP="00302599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LDL_Cholesterol_Missing</w:t>
            </w:r>
          </w:p>
        </w:tc>
        <w:tc>
          <w:tcPr>
            <w:tcW w:w="976" w:type="pct"/>
            <w:noWrap/>
            <w:vAlign w:val="bottom"/>
          </w:tcPr>
          <w:p w14:paraId="1D486CE4" w14:textId="4823F649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1.47128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79E2918C" w14:textId="37F9678C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2F08D872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1F1DCE02" w14:textId="6964A096" w:rsidR="001A640F" w:rsidRPr="0095764A" w:rsidRDefault="001A640F" w:rsidP="00302599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  <w:r w:rsidRPr="0095764A">
              <w:rPr>
                <w:rFonts w:ascii="Arial" w:eastAsia="Times New Roman" w:hAnsi="Arial" w:cs="Arial"/>
                <w:color w:val="000000"/>
              </w:rPr>
              <w:t>A1c_Missing</w:t>
            </w:r>
          </w:p>
        </w:tc>
        <w:tc>
          <w:tcPr>
            <w:tcW w:w="976" w:type="pct"/>
            <w:noWrap/>
            <w:vAlign w:val="bottom"/>
          </w:tcPr>
          <w:p w14:paraId="5574E723" w14:textId="20016D1F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48.98264</w:t>
            </w:r>
          </w:p>
        </w:tc>
        <w:tc>
          <w:tcPr>
            <w:tcW w:w="850" w:type="pct"/>
            <w:gridSpan w:val="2"/>
            <w:noWrap/>
            <w:vAlign w:val="bottom"/>
          </w:tcPr>
          <w:p w14:paraId="5FAA9AFD" w14:textId="07DB11C8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95764A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A640F" w:rsidRPr="0095764A" w14:paraId="56B8B0DC" w14:textId="77777777" w:rsidTr="00B317B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pct"/>
            <w:noWrap/>
          </w:tcPr>
          <w:p w14:paraId="6608D1FC" w14:textId="65EA5CE4" w:rsidR="001A640F" w:rsidRPr="0095764A" w:rsidRDefault="001A640F" w:rsidP="00302599">
            <w:pPr>
              <w:spacing w:line="276" w:lineRule="auto"/>
              <w:ind w:firstLine="27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pct"/>
            <w:noWrap/>
            <w:vAlign w:val="bottom"/>
          </w:tcPr>
          <w:p w14:paraId="7B6C8DD4" w14:textId="424B82EC" w:rsidR="001A640F" w:rsidRPr="0095764A" w:rsidRDefault="001A640F" w:rsidP="00302599">
            <w:pPr>
              <w:spacing w:line="276" w:lineRule="auto"/>
              <w:ind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pct"/>
            <w:gridSpan w:val="2"/>
            <w:noWrap/>
            <w:vAlign w:val="bottom"/>
          </w:tcPr>
          <w:p w14:paraId="5FBC5293" w14:textId="7DDDD544" w:rsidR="001A640F" w:rsidRPr="0095764A" w:rsidRDefault="001A640F" w:rsidP="0030259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482C5C0B" w14:textId="33C5A6E4" w:rsidR="005F2F50" w:rsidRPr="0095764A" w:rsidRDefault="005F2F50" w:rsidP="00AA74E9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6EDD6D83" w14:textId="77777777" w:rsidR="000A03E3" w:rsidRPr="0095764A" w:rsidRDefault="000A03E3" w:rsidP="008114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9022E5" w14:textId="77777777" w:rsidR="000A03E3" w:rsidRPr="0095764A" w:rsidRDefault="000A03E3" w:rsidP="008114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342D9C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720D23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8187C1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E31EDB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E6982A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EB863E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01CF56" w14:textId="627BD31E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5F0163" w14:textId="2EC5047D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49FADD" w14:textId="4C29C6C1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AA51D" w14:textId="085D42EC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DD1519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EC9955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AFE9A6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6B7EBF" w14:textId="77777777" w:rsidR="0095764A" w:rsidRDefault="0095764A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BD8CEA" w14:textId="7B08BAAD" w:rsidR="00D37DD0" w:rsidRDefault="00F20B71" w:rsidP="00811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</w:t>
      </w:r>
      <w:r w:rsidR="000632CB" w:rsidRPr="000632CB">
        <w:rPr>
          <w:rFonts w:ascii="Arial" w:hAnsi="Arial" w:cs="Arial"/>
          <w:b/>
          <w:sz w:val="20"/>
          <w:szCs w:val="20"/>
        </w:rPr>
        <w:t xml:space="preserve"> </w:t>
      </w:r>
      <w:r w:rsidR="000632CB">
        <w:rPr>
          <w:rFonts w:ascii="Arial" w:hAnsi="Arial" w:cs="Arial"/>
          <w:b/>
          <w:sz w:val="20"/>
          <w:szCs w:val="20"/>
        </w:rPr>
        <w:t>Table 3</w:t>
      </w:r>
      <w:r w:rsidR="00811443" w:rsidRPr="00D37DD0">
        <w:rPr>
          <w:rFonts w:ascii="Arial" w:hAnsi="Arial" w:cs="Arial"/>
          <w:b/>
          <w:sz w:val="20"/>
          <w:szCs w:val="20"/>
        </w:rPr>
        <w:t xml:space="preserve">: </w:t>
      </w:r>
      <w:r w:rsidR="00D37DD0">
        <w:rPr>
          <w:rFonts w:ascii="Arial" w:hAnsi="Arial" w:cs="Arial"/>
          <w:b/>
          <w:sz w:val="20"/>
          <w:szCs w:val="20"/>
        </w:rPr>
        <w:t>Subgroup analysis by age, race, and GFR evaluating r</w:t>
      </w:r>
      <w:r w:rsidR="00D37DD0" w:rsidRPr="00D37DD0">
        <w:rPr>
          <w:rFonts w:ascii="Arial" w:hAnsi="Arial" w:cs="Arial"/>
          <w:b/>
          <w:sz w:val="20"/>
          <w:szCs w:val="20"/>
        </w:rPr>
        <w:t xml:space="preserve">ate and hazard ratios (95% confidence interval [CI] for lactic acidosis </w:t>
      </w:r>
      <w:r w:rsidR="00D37DD0">
        <w:rPr>
          <w:rFonts w:ascii="Arial" w:hAnsi="Arial" w:cs="Arial"/>
          <w:b/>
          <w:sz w:val="20"/>
          <w:szCs w:val="20"/>
        </w:rPr>
        <w:t>(95% confidence interval [CI] for lactic acidosis hospitalizations among those with reduced glomerular filtration rate who use metformin versus sulfonylurea in matched unweighted cohort</w:t>
      </w:r>
    </w:p>
    <w:tbl>
      <w:tblPr>
        <w:tblStyle w:val="Style111"/>
        <w:tblpPr w:leftFromText="187" w:rightFromText="187" w:vertAnchor="page" w:horzAnchor="margin" w:tblpXSpec="center" w:tblpY="2473"/>
        <w:tblW w:w="10337" w:type="dxa"/>
        <w:tblLayout w:type="fixed"/>
        <w:tblLook w:val="00A0" w:firstRow="1" w:lastRow="0" w:firstColumn="1" w:lastColumn="0" w:noHBand="0" w:noVBand="0"/>
      </w:tblPr>
      <w:tblGrid>
        <w:gridCol w:w="4950"/>
        <w:gridCol w:w="1980"/>
        <w:gridCol w:w="1980"/>
        <w:gridCol w:w="1427"/>
      </w:tblGrid>
      <w:tr w:rsidR="003B2B03" w:rsidRPr="00D37DD0" w14:paraId="50738F64" w14:textId="77777777" w:rsidTr="00F50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706C8838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  <w:b/>
                <w:i w:val="0"/>
                <w:iCs w:val="0"/>
                <w:color w:val="E7E6E6" w:themeColor="background2"/>
              </w:rPr>
            </w:pPr>
          </w:p>
        </w:tc>
        <w:tc>
          <w:tcPr>
            <w:tcW w:w="1980" w:type="dxa"/>
          </w:tcPr>
          <w:p w14:paraId="0EB2AF67" w14:textId="77777777" w:rsidR="003B2B03" w:rsidRPr="00D37DD0" w:rsidRDefault="003B2B03" w:rsidP="003B2B03">
            <w:pPr>
              <w:keepNext/>
              <w:keepLines/>
              <w:spacing w:line="36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 w:val="0"/>
              </w:rPr>
            </w:pPr>
            <w:r w:rsidRPr="00D37DD0">
              <w:rPr>
                <w:rFonts w:ascii="Arial" w:eastAsiaTheme="majorEastAsia" w:hAnsi="Arial" w:cs="Arial"/>
                <w:b/>
                <w:i w:val="0"/>
                <w:iCs w:val="0"/>
              </w:rPr>
              <w:t>Metformin</w:t>
            </w:r>
          </w:p>
        </w:tc>
        <w:tc>
          <w:tcPr>
            <w:tcW w:w="1980" w:type="dxa"/>
          </w:tcPr>
          <w:p w14:paraId="77FFBAFC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i w:val="0"/>
                <w:iCs w:val="0"/>
              </w:rPr>
            </w:pPr>
            <w:r w:rsidRPr="00D37DD0">
              <w:rPr>
                <w:rFonts w:ascii="Arial" w:eastAsiaTheme="minorHAnsi" w:hAnsi="Arial" w:cs="Arial"/>
                <w:b/>
                <w:i w:val="0"/>
                <w:iCs w:val="0"/>
              </w:rPr>
              <w:t>Sulfonylurea</w:t>
            </w:r>
          </w:p>
        </w:tc>
        <w:tc>
          <w:tcPr>
            <w:tcW w:w="1427" w:type="dxa"/>
          </w:tcPr>
          <w:p w14:paraId="28B55B12" w14:textId="77777777" w:rsidR="003B2B03" w:rsidRPr="00D37DD0" w:rsidRDefault="003B2B03" w:rsidP="003B2B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37DD0">
              <w:rPr>
                <w:rFonts w:ascii="Arial" w:hAnsi="Arial" w:cs="Arial"/>
                <w:b/>
              </w:rPr>
              <w:t>P value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7DD0">
              <w:rPr>
                <w:rFonts w:ascii="Arial" w:hAnsi="Arial" w:cs="Arial"/>
                <w:b/>
              </w:rPr>
              <w:t>Interaction</w:t>
            </w:r>
          </w:p>
        </w:tc>
      </w:tr>
      <w:tr w:rsidR="003B2B03" w:rsidRPr="00D37DD0" w14:paraId="29C8A2AB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</w:tcBorders>
            <w:noWrap/>
          </w:tcPr>
          <w:p w14:paraId="7C50BE99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b/>
              </w:rPr>
              <w:t>Age younger than 65 years (N in weighted cohort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0ACFA87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7814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713EC20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7968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14:paraId="625674B8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  <w:r w:rsidRPr="00D37DD0">
              <w:rPr>
                <w:rFonts w:ascii="Arial" w:hAnsi="Arial" w:cs="Arial"/>
                <w:i/>
              </w:rPr>
              <w:t>p = 0.901</w:t>
            </w:r>
          </w:p>
        </w:tc>
      </w:tr>
      <w:tr w:rsidR="003B2B03" w:rsidRPr="00D37DD0" w14:paraId="7C1B248F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11153C36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i/>
              </w:rPr>
              <w:t xml:space="preserve">Lactic Acidosis Events </w:t>
            </w:r>
          </w:p>
        </w:tc>
        <w:tc>
          <w:tcPr>
            <w:tcW w:w="1980" w:type="dxa"/>
          </w:tcPr>
          <w:p w14:paraId="76B39F08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65</w:t>
            </w:r>
          </w:p>
        </w:tc>
        <w:tc>
          <w:tcPr>
            <w:tcW w:w="1980" w:type="dxa"/>
          </w:tcPr>
          <w:p w14:paraId="63E8F7AE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62</w:t>
            </w:r>
          </w:p>
        </w:tc>
        <w:tc>
          <w:tcPr>
            <w:tcW w:w="1427" w:type="dxa"/>
            <w:vMerge/>
          </w:tcPr>
          <w:p w14:paraId="7B72BF20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32D63008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38567E8E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Person-Years</w:t>
            </w:r>
          </w:p>
        </w:tc>
        <w:tc>
          <w:tcPr>
            <w:tcW w:w="1980" w:type="dxa"/>
          </w:tcPr>
          <w:p w14:paraId="6941EA1F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12,820</w:t>
            </w:r>
          </w:p>
        </w:tc>
        <w:tc>
          <w:tcPr>
            <w:tcW w:w="1980" w:type="dxa"/>
          </w:tcPr>
          <w:p w14:paraId="20BF8D9E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13,693</w:t>
            </w:r>
          </w:p>
        </w:tc>
        <w:tc>
          <w:tcPr>
            <w:tcW w:w="1427" w:type="dxa"/>
            <w:vMerge/>
          </w:tcPr>
          <w:p w14:paraId="6FA89E84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50B698B2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5DFD62F8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Unadjusted Rate/1,000 person-years (95% CI)</w:t>
            </w:r>
          </w:p>
        </w:tc>
        <w:tc>
          <w:tcPr>
            <w:tcW w:w="1980" w:type="dxa"/>
          </w:tcPr>
          <w:p w14:paraId="5CCAA98C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5.09 (4.00, 6.48)</w:t>
            </w:r>
          </w:p>
        </w:tc>
        <w:tc>
          <w:tcPr>
            <w:tcW w:w="1980" w:type="dxa"/>
          </w:tcPr>
          <w:p w14:paraId="65D73773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4.52 (3.52, 5.79)</w:t>
            </w:r>
          </w:p>
        </w:tc>
        <w:tc>
          <w:tcPr>
            <w:tcW w:w="1427" w:type="dxa"/>
            <w:vMerge/>
          </w:tcPr>
          <w:p w14:paraId="0C771D95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580FE265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080CCE04" w14:textId="77777777" w:rsidR="003B2B03" w:rsidRPr="00D37DD0" w:rsidRDefault="003B2B03" w:rsidP="003B2B03">
            <w:pPr>
              <w:spacing w:line="360" w:lineRule="auto"/>
              <w:ind w:firstLine="36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Hazard Ratio</w:t>
            </w:r>
            <w:r w:rsidRPr="00D37DD0">
              <w:rPr>
                <w:rFonts w:ascii="Arial" w:eastAsiaTheme="minorHAnsi" w:hAnsi="Arial" w:cs="Arial"/>
                <w:vertAlign w:val="superscript"/>
              </w:rPr>
              <w:t xml:space="preserve"> a</w:t>
            </w:r>
            <w:r w:rsidRPr="00D37DD0">
              <w:rPr>
                <w:rFonts w:ascii="Arial" w:eastAsiaTheme="minorHAnsi" w:hAnsi="Arial" w:cs="Arial"/>
              </w:rPr>
              <w:t xml:space="preserve">  (95% CI)</w:t>
            </w:r>
          </w:p>
        </w:tc>
        <w:tc>
          <w:tcPr>
            <w:tcW w:w="1980" w:type="dxa"/>
          </w:tcPr>
          <w:p w14:paraId="6E4831C3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>1.10 (0.82, 1.48)</w:t>
            </w:r>
          </w:p>
        </w:tc>
        <w:tc>
          <w:tcPr>
            <w:tcW w:w="1980" w:type="dxa"/>
          </w:tcPr>
          <w:p w14:paraId="62A9FC86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 xml:space="preserve">Reference </w:t>
            </w:r>
          </w:p>
        </w:tc>
        <w:tc>
          <w:tcPr>
            <w:tcW w:w="1427" w:type="dxa"/>
            <w:vMerge/>
          </w:tcPr>
          <w:p w14:paraId="2E499618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3B2B03" w:rsidRPr="00D37DD0" w14:paraId="75794812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746D2810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b/>
              </w:rPr>
              <w:t>Age 65 years and older (N in weighted cohort)</w:t>
            </w:r>
          </w:p>
        </w:tc>
        <w:tc>
          <w:tcPr>
            <w:tcW w:w="1980" w:type="dxa"/>
          </w:tcPr>
          <w:p w14:paraId="1AA6D2D2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16,728</w:t>
            </w:r>
          </w:p>
        </w:tc>
        <w:tc>
          <w:tcPr>
            <w:tcW w:w="1980" w:type="dxa"/>
          </w:tcPr>
          <w:p w14:paraId="0CF27013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2F5496" w:themeColor="accent1" w:themeShade="BF"/>
              </w:rPr>
            </w:pPr>
            <w:r w:rsidRPr="00D37DD0">
              <w:rPr>
                <w:rFonts w:ascii="Arial" w:hAnsi="Arial" w:cs="Arial"/>
                <w:color w:val="000000"/>
              </w:rPr>
              <w:t>16,694</w:t>
            </w:r>
          </w:p>
        </w:tc>
        <w:tc>
          <w:tcPr>
            <w:tcW w:w="1427" w:type="dxa"/>
            <w:vMerge/>
          </w:tcPr>
          <w:p w14:paraId="4BC23BB4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3983FC54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48CED905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i/>
              </w:rPr>
              <w:t xml:space="preserve">Lactic Acidosis Events </w:t>
            </w:r>
          </w:p>
        </w:tc>
        <w:tc>
          <w:tcPr>
            <w:tcW w:w="1980" w:type="dxa"/>
          </w:tcPr>
          <w:p w14:paraId="42685FAC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980" w:type="dxa"/>
          </w:tcPr>
          <w:p w14:paraId="392B0E92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27" w:type="dxa"/>
            <w:vMerge/>
          </w:tcPr>
          <w:p w14:paraId="43DABCA6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16EA9485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1773FC0F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Person-Years</w:t>
            </w:r>
          </w:p>
        </w:tc>
        <w:tc>
          <w:tcPr>
            <w:tcW w:w="1980" w:type="dxa"/>
          </w:tcPr>
          <w:p w14:paraId="5799813F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7DD0">
              <w:rPr>
                <w:rFonts w:ascii="Arial" w:hAnsi="Arial" w:cs="Arial"/>
              </w:rPr>
              <w:t>33,377</w:t>
            </w:r>
          </w:p>
        </w:tc>
        <w:tc>
          <w:tcPr>
            <w:tcW w:w="1980" w:type="dxa"/>
          </w:tcPr>
          <w:p w14:paraId="370037C3" w14:textId="77777777" w:rsidR="003B2B03" w:rsidRPr="00D37DD0" w:rsidRDefault="003B2B03" w:rsidP="003B2B0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hAnsi="Arial" w:cs="Arial"/>
              </w:rPr>
              <w:t>35,056</w:t>
            </w:r>
          </w:p>
        </w:tc>
        <w:tc>
          <w:tcPr>
            <w:tcW w:w="1427" w:type="dxa"/>
            <w:vMerge/>
          </w:tcPr>
          <w:p w14:paraId="1E680092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4F506335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nil"/>
            </w:tcBorders>
            <w:noWrap/>
          </w:tcPr>
          <w:p w14:paraId="40505DA0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Unadjusted Rate/1,000 person-years (95% CI)</w:t>
            </w:r>
          </w:p>
        </w:tc>
        <w:tc>
          <w:tcPr>
            <w:tcW w:w="1980" w:type="dxa"/>
            <w:tcBorders>
              <w:bottom w:val="nil"/>
            </w:tcBorders>
          </w:tcPr>
          <w:p w14:paraId="66249C83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3.83 (3.23, 4.56)</w:t>
            </w:r>
          </w:p>
        </w:tc>
        <w:tc>
          <w:tcPr>
            <w:tcW w:w="1980" w:type="dxa"/>
            <w:tcBorders>
              <w:bottom w:val="nil"/>
            </w:tcBorders>
          </w:tcPr>
          <w:p w14:paraId="2595422E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3.37 (2.81, 4.03)</w:t>
            </w:r>
          </w:p>
        </w:tc>
        <w:tc>
          <w:tcPr>
            <w:tcW w:w="1427" w:type="dxa"/>
            <w:vMerge/>
          </w:tcPr>
          <w:p w14:paraId="6A18AA76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783380F9" w14:textId="77777777" w:rsidTr="00F503B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il"/>
              <w:bottom w:val="single" w:sz="4" w:space="0" w:color="auto"/>
            </w:tcBorders>
            <w:noWrap/>
          </w:tcPr>
          <w:p w14:paraId="59FAC923" w14:textId="77777777" w:rsidR="003B2B03" w:rsidRPr="00D37DD0" w:rsidRDefault="003B2B03" w:rsidP="003B2B03">
            <w:pPr>
              <w:spacing w:line="360" w:lineRule="auto"/>
              <w:ind w:firstLine="36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Hazard Ratio</w:t>
            </w:r>
            <w:r w:rsidRPr="00D37DD0">
              <w:rPr>
                <w:rFonts w:ascii="Arial" w:eastAsiaTheme="minorHAnsi" w:hAnsi="Arial" w:cs="Arial"/>
                <w:vertAlign w:val="superscript"/>
              </w:rPr>
              <w:t>a</w:t>
            </w:r>
            <w:r w:rsidRPr="00D37DD0">
              <w:rPr>
                <w:rFonts w:ascii="Arial" w:eastAsiaTheme="minorHAnsi" w:hAnsi="Arial" w:cs="Arial"/>
              </w:rPr>
              <w:t xml:space="preserve"> (95% CI)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503183D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>1.13 (0.91, 1.41)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2C58B70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 xml:space="preserve">Reference 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4F833921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3B2B03" w:rsidRPr="00D37DD0" w14:paraId="5AD0D8F9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</w:tcBorders>
            <w:noWrap/>
          </w:tcPr>
          <w:p w14:paraId="6AE7D66D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b/>
              </w:rPr>
              <w:t>Non-Black race (N in weighted cohort)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B1A0B1B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20538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1290039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20648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14:paraId="6CFA5662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37DD0">
              <w:rPr>
                <w:rFonts w:ascii="Arial" w:hAnsi="Arial" w:cs="Arial"/>
                <w:i/>
              </w:rPr>
              <w:t>p = 0.736</w:t>
            </w:r>
          </w:p>
        </w:tc>
      </w:tr>
      <w:tr w:rsidR="003B2B03" w:rsidRPr="00D37DD0" w14:paraId="37039418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1920AD8A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i/>
              </w:rPr>
              <w:t xml:space="preserve">Lactic Acidosis Hospitalization </w:t>
            </w:r>
          </w:p>
        </w:tc>
        <w:tc>
          <w:tcPr>
            <w:tcW w:w="1980" w:type="dxa"/>
          </w:tcPr>
          <w:p w14:paraId="15AE3BE3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980" w:type="dxa"/>
          </w:tcPr>
          <w:p w14:paraId="583C2225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427" w:type="dxa"/>
            <w:vMerge/>
          </w:tcPr>
          <w:p w14:paraId="15F6C581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B2B03" w:rsidRPr="00D37DD0" w14:paraId="74788318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1F553955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Person-Years</w:t>
            </w:r>
          </w:p>
        </w:tc>
        <w:tc>
          <w:tcPr>
            <w:tcW w:w="1980" w:type="dxa"/>
          </w:tcPr>
          <w:p w14:paraId="238538D7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7DD0">
              <w:rPr>
                <w:rFonts w:ascii="Arial" w:hAnsi="Arial" w:cs="Arial"/>
              </w:rPr>
              <w:t>40,891</w:t>
            </w:r>
          </w:p>
        </w:tc>
        <w:tc>
          <w:tcPr>
            <w:tcW w:w="1980" w:type="dxa"/>
          </w:tcPr>
          <w:p w14:paraId="48E2441B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7DD0">
              <w:rPr>
                <w:rFonts w:ascii="Arial" w:hAnsi="Arial" w:cs="Arial"/>
              </w:rPr>
              <w:t>42,015</w:t>
            </w:r>
          </w:p>
        </w:tc>
        <w:tc>
          <w:tcPr>
            <w:tcW w:w="1427" w:type="dxa"/>
            <w:vMerge/>
          </w:tcPr>
          <w:p w14:paraId="2B5B9BE6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B2B03" w:rsidRPr="00D37DD0" w14:paraId="5F94BE4B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4E4A26EE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Unadjusted Rate/1,000 person-years (95% CI)</w:t>
            </w:r>
          </w:p>
        </w:tc>
        <w:tc>
          <w:tcPr>
            <w:tcW w:w="1980" w:type="dxa"/>
          </w:tcPr>
          <w:p w14:paraId="0DC45201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3.7</w:t>
            </w:r>
            <w:r>
              <w:rPr>
                <w:rFonts w:ascii="Arial" w:eastAsiaTheme="minorHAnsi" w:hAnsi="Arial" w:cs="Arial"/>
              </w:rPr>
              <w:t>3</w:t>
            </w:r>
            <w:r w:rsidRPr="00D37DD0">
              <w:rPr>
                <w:rFonts w:ascii="Arial" w:eastAsiaTheme="minorHAnsi" w:hAnsi="Arial" w:cs="Arial"/>
              </w:rPr>
              <w:t xml:space="preserve"> (3.</w:t>
            </w:r>
            <w:r>
              <w:rPr>
                <w:rFonts w:ascii="Arial" w:eastAsiaTheme="minorHAnsi" w:hAnsi="Arial" w:cs="Arial"/>
              </w:rPr>
              <w:t>19</w:t>
            </w:r>
            <w:r w:rsidRPr="00D37DD0">
              <w:rPr>
                <w:rFonts w:ascii="Arial" w:eastAsiaTheme="minorHAnsi" w:hAnsi="Arial" w:cs="Arial"/>
              </w:rPr>
              <w:t>, 4.</w:t>
            </w:r>
            <w:r>
              <w:rPr>
                <w:rFonts w:ascii="Arial" w:eastAsiaTheme="minorHAnsi" w:hAnsi="Arial" w:cs="Arial"/>
              </w:rPr>
              <w:t>37</w:t>
            </w:r>
            <w:r w:rsidRPr="00D37DD0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980" w:type="dxa"/>
          </w:tcPr>
          <w:p w14:paraId="3F8AA62A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7DD0">
              <w:rPr>
                <w:rFonts w:ascii="Arial" w:hAnsi="Arial" w:cs="Arial"/>
              </w:rPr>
              <w:t>3.4</w:t>
            </w:r>
            <w:r>
              <w:rPr>
                <w:rFonts w:ascii="Arial" w:hAnsi="Arial" w:cs="Arial"/>
              </w:rPr>
              <w:t>0</w:t>
            </w:r>
            <w:r w:rsidRPr="00D37DD0">
              <w:rPr>
                <w:rFonts w:ascii="Arial" w:hAnsi="Arial" w:cs="Arial"/>
              </w:rPr>
              <w:t xml:space="preserve"> </w:t>
            </w:r>
            <w:r w:rsidRPr="00D37DD0">
              <w:rPr>
                <w:rFonts w:ascii="Arial" w:eastAsiaTheme="minorHAnsi" w:hAnsi="Arial" w:cs="Arial"/>
              </w:rPr>
              <w:t>(2.</w:t>
            </w:r>
            <w:r>
              <w:rPr>
                <w:rFonts w:ascii="Arial" w:eastAsiaTheme="minorHAnsi" w:hAnsi="Arial" w:cs="Arial"/>
              </w:rPr>
              <w:t>88</w:t>
            </w:r>
            <w:r w:rsidRPr="00D37DD0">
              <w:rPr>
                <w:rFonts w:ascii="Arial" w:eastAsiaTheme="minorHAnsi" w:hAnsi="Arial" w:cs="Arial"/>
              </w:rPr>
              <w:t>, 4.0</w:t>
            </w:r>
            <w:r>
              <w:rPr>
                <w:rFonts w:ascii="Arial" w:eastAsiaTheme="minorHAnsi" w:hAnsi="Arial" w:cs="Arial"/>
              </w:rPr>
              <w:t>0</w:t>
            </w:r>
            <w:r w:rsidRPr="00D37DD0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427" w:type="dxa"/>
            <w:vMerge/>
          </w:tcPr>
          <w:p w14:paraId="45155CC5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B2B03" w:rsidRPr="00D37DD0" w14:paraId="4A44E7A9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68551D15" w14:textId="77777777" w:rsidR="003B2B03" w:rsidRPr="00D37DD0" w:rsidRDefault="003B2B03" w:rsidP="003B2B03">
            <w:pPr>
              <w:spacing w:line="360" w:lineRule="auto"/>
              <w:ind w:firstLine="36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Hazard Ratio</w:t>
            </w:r>
            <w:r w:rsidRPr="00D37DD0">
              <w:rPr>
                <w:rFonts w:ascii="Arial" w:eastAsiaTheme="minorHAnsi" w:hAnsi="Arial" w:cs="Arial"/>
                <w:vertAlign w:val="superscript"/>
              </w:rPr>
              <w:t>a</w:t>
            </w:r>
            <w:r w:rsidRPr="00D37DD0">
              <w:rPr>
                <w:rFonts w:ascii="Arial" w:eastAsiaTheme="minorHAnsi" w:hAnsi="Arial" w:cs="Arial"/>
              </w:rPr>
              <w:t xml:space="preserve"> (95% CI)</w:t>
            </w:r>
          </w:p>
        </w:tc>
        <w:tc>
          <w:tcPr>
            <w:tcW w:w="1980" w:type="dxa"/>
          </w:tcPr>
          <w:p w14:paraId="2449A6AB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>1.10 (0.90,1.34)</w:t>
            </w:r>
          </w:p>
        </w:tc>
        <w:tc>
          <w:tcPr>
            <w:tcW w:w="1980" w:type="dxa"/>
          </w:tcPr>
          <w:p w14:paraId="388BA126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 xml:space="preserve">Reference </w:t>
            </w:r>
          </w:p>
        </w:tc>
        <w:tc>
          <w:tcPr>
            <w:tcW w:w="1427" w:type="dxa"/>
            <w:vMerge/>
          </w:tcPr>
          <w:p w14:paraId="5FB1FD07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</w:tr>
      <w:tr w:rsidR="003B2B03" w:rsidRPr="00D37DD0" w14:paraId="1F64986C" w14:textId="77777777" w:rsidTr="00F503B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50780A5F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b/>
              </w:rPr>
              <w:t>Black race (N in weighted cohort)</w:t>
            </w:r>
          </w:p>
        </w:tc>
        <w:tc>
          <w:tcPr>
            <w:tcW w:w="1980" w:type="dxa"/>
          </w:tcPr>
          <w:p w14:paraId="2832BF65" w14:textId="77777777" w:rsidR="003B2B03" w:rsidRPr="00D37DD0" w:rsidRDefault="003B2B03" w:rsidP="003B2B0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4004</w:t>
            </w:r>
          </w:p>
        </w:tc>
        <w:tc>
          <w:tcPr>
            <w:tcW w:w="1980" w:type="dxa"/>
          </w:tcPr>
          <w:p w14:paraId="3DE55A36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4014</w:t>
            </w:r>
          </w:p>
        </w:tc>
        <w:tc>
          <w:tcPr>
            <w:tcW w:w="1427" w:type="dxa"/>
            <w:vMerge/>
          </w:tcPr>
          <w:p w14:paraId="22C29F43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B2B03" w:rsidRPr="00D37DD0" w14:paraId="70E3062B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71381ADB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i/>
              </w:rPr>
              <w:t>Composite Lactic Acidosis Hospitalization</w:t>
            </w:r>
          </w:p>
        </w:tc>
        <w:tc>
          <w:tcPr>
            <w:tcW w:w="1980" w:type="dxa"/>
          </w:tcPr>
          <w:p w14:paraId="106B4989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980" w:type="dxa"/>
          </w:tcPr>
          <w:p w14:paraId="7EF0B78D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37DD0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27" w:type="dxa"/>
            <w:vMerge/>
          </w:tcPr>
          <w:p w14:paraId="73BE918F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B2B03" w:rsidRPr="00D37DD0" w14:paraId="5D22B5F4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50709D20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Person-Years</w:t>
            </w:r>
          </w:p>
        </w:tc>
        <w:tc>
          <w:tcPr>
            <w:tcW w:w="1980" w:type="dxa"/>
          </w:tcPr>
          <w:p w14:paraId="0B48B80F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hAnsi="Arial" w:cs="Arial"/>
              </w:rPr>
              <w:t>5307</w:t>
            </w:r>
          </w:p>
        </w:tc>
        <w:tc>
          <w:tcPr>
            <w:tcW w:w="1980" w:type="dxa"/>
          </w:tcPr>
          <w:p w14:paraId="7FC9CC58" w14:textId="77777777" w:rsidR="003B2B03" w:rsidRPr="00D37DD0" w:rsidRDefault="003B2B03" w:rsidP="003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7DD0">
              <w:rPr>
                <w:rFonts w:ascii="Arial" w:hAnsi="Arial" w:cs="Arial"/>
              </w:rPr>
              <w:t>6734</w:t>
            </w:r>
          </w:p>
        </w:tc>
        <w:tc>
          <w:tcPr>
            <w:tcW w:w="1427" w:type="dxa"/>
            <w:vMerge/>
          </w:tcPr>
          <w:p w14:paraId="7BB1554F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B2B03" w:rsidRPr="00D37DD0" w14:paraId="67CDE5A9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nil"/>
            </w:tcBorders>
            <w:noWrap/>
          </w:tcPr>
          <w:p w14:paraId="17AB2E08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Unadjusted Rate/1000 person-years (95% CI)</w:t>
            </w:r>
          </w:p>
        </w:tc>
        <w:tc>
          <w:tcPr>
            <w:tcW w:w="1980" w:type="dxa"/>
            <w:tcBorders>
              <w:bottom w:val="nil"/>
            </w:tcBorders>
          </w:tcPr>
          <w:p w14:paraId="1D119AF6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7.63 (5.62, 10.35)</w:t>
            </w:r>
          </w:p>
        </w:tc>
        <w:tc>
          <w:tcPr>
            <w:tcW w:w="1980" w:type="dxa"/>
            <w:tcBorders>
              <w:bottom w:val="nil"/>
            </w:tcBorders>
          </w:tcPr>
          <w:p w14:paraId="47728FBB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5.53 (4.02, 7.61)</w:t>
            </w:r>
          </w:p>
        </w:tc>
        <w:tc>
          <w:tcPr>
            <w:tcW w:w="1427" w:type="dxa"/>
            <w:vMerge/>
          </w:tcPr>
          <w:p w14:paraId="1100D3E6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3B2B03" w:rsidRPr="00D37DD0" w14:paraId="7F3DD6E3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il"/>
              <w:bottom w:val="single" w:sz="4" w:space="0" w:color="auto"/>
            </w:tcBorders>
            <w:noWrap/>
          </w:tcPr>
          <w:p w14:paraId="60F06CB1" w14:textId="77777777" w:rsidR="003B2B03" w:rsidRPr="00D37DD0" w:rsidRDefault="003B2B03" w:rsidP="003B2B03">
            <w:pPr>
              <w:spacing w:line="360" w:lineRule="auto"/>
              <w:ind w:firstLine="36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Hazard Ratio</w:t>
            </w:r>
            <w:r w:rsidRPr="00D37DD0">
              <w:rPr>
                <w:rFonts w:ascii="Arial" w:eastAsiaTheme="minorHAnsi" w:hAnsi="Arial" w:cs="Arial"/>
                <w:vertAlign w:val="superscript"/>
              </w:rPr>
              <w:t>b</w:t>
            </w:r>
            <w:r w:rsidRPr="00D37DD0">
              <w:rPr>
                <w:rFonts w:ascii="Arial" w:eastAsiaTheme="minorHAnsi" w:hAnsi="Arial" w:cs="Arial"/>
              </w:rPr>
              <w:t xml:space="preserve"> (95% CI)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286BC83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1.29 (0.88, 1.91)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5FAAAE3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 xml:space="preserve">Reference 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7C7A69E8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</w:tr>
      <w:tr w:rsidR="003B2B03" w:rsidRPr="00D37DD0" w14:paraId="4B5E335E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</w:tcBorders>
            <w:noWrap/>
          </w:tcPr>
          <w:p w14:paraId="0269CFDC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b/>
              </w:rPr>
              <w:t xml:space="preserve">eGFR </w:t>
            </w:r>
            <w:r w:rsidRPr="00D37DD0">
              <w:rPr>
                <w:rFonts w:ascii="Arial" w:eastAsiaTheme="minorHAnsi" w:hAnsi="Arial" w:cs="Arial"/>
                <w:b/>
                <w:u w:val="single"/>
              </w:rPr>
              <w:t>&gt;</w:t>
            </w:r>
            <w:r w:rsidRPr="00D37DD0">
              <w:rPr>
                <w:rFonts w:ascii="Arial" w:eastAsiaTheme="minorHAnsi" w:hAnsi="Arial" w:cs="Arial"/>
                <w:b/>
              </w:rPr>
              <w:t>45 ml/min (N in weighted cohort)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057D51C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22,349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49750C4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22,479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14:paraId="2C024586" w14:textId="77777777" w:rsidR="003B2B03" w:rsidRPr="00D37DD0" w:rsidRDefault="003B2B03" w:rsidP="003B2B03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37DD0">
              <w:rPr>
                <w:rFonts w:ascii="Arial" w:hAnsi="Arial" w:cs="Arial"/>
                <w:i/>
              </w:rPr>
              <w:t xml:space="preserve">GFR spline terms </w:t>
            </w:r>
          </w:p>
          <w:p w14:paraId="6E31E2BE" w14:textId="77777777" w:rsidR="003B2B03" w:rsidRPr="00D37DD0" w:rsidRDefault="003B2B03" w:rsidP="003B2B03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37DD0">
              <w:rPr>
                <w:rFonts w:ascii="Arial" w:hAnsi="Arial" w:cs="Arial"/>
                <w:i/>
              </w:rPr>
              <w:t xml:space="preserve">eGFR </w:t>
            </w:r>
          </w:p>
          <w:p w14:paraId="0AD494A7" w14:textId="77777777" w:rsidR="003B2B03" w:rsidRPr="00D37DD0" w:rsidRDefault="003B2B03" w:rsidP="003B2B03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37DD0">
              <w:rPr>
                <w:rFonts w:ascii="Arial" w:hAnsi="Arial" w:cs="Arial"/>
                <w:i/>
              </w:rPr>
              <w:t xml:space="preserve">p = 0.731 </w:t>
            </w:r>
          </w:p>
          <w:p w14:paraId="18578770" w14:textId="77777777" w:rsidR="003B2B03" w:rsidRPr="00D37DD0" w:rsidRDefault="003B2B03" w:rsidP="003B2B03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37DD0">
              <w:rPr>
                <w:rFonts w:ascii="Arial" w:hAnsi="Arial" w:cs="Arial"/>
                <w:i/>
              </w:rPr>
              <w:t>eGFR’</w:t>
            </w:r>
          </w:p>
          <w:p w14:paraId="70F39313" w14:textId="77777777" w:rsidR="003B2B03" w:rsidRPr="00D37DD0" w:rsidRDefault="003B2B03" w:rsidP="003B2B03">
            <w:pPr>
              <w:spacing w:line="36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37DD0">
              <w:rPr>
                <w:rFonts w:ascii="Arial" w:hAnsi="Arial" w:cs="Arial"/>
                <w:i/>
              </w:rPr>
              <w:t>p = 0.65</w:t>
            </w:r>
          </w:p>
        </w:tc>
      </w:tr>
      <w:tr w:rsidR="003B2B03" w:rsidRPr="00D37DD0" w14:paraId="3AC38B47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77E5738A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i/>
              </w:rPr>
              <w:t xml:space="preserve">Lactic Acidosis Hospitalization </w:t>
            </w:r>
          </w:p>
        </w:tc>
        <w:tc>
          <w:tcPr>
            <w:tcW w:w="1980" w:type="dxa"/>
          </w:tcPr>
          <w:p w14:paraId="388E5F88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161</w:t>
            </w:r>
          </w:p>
        </w:tc>
        <w:tc>
          <w:tcPr>
            <w:tcW w:w="1980" w:type="dxa"/>
          </w:tcPr>
          <w:p w14:paraId="48F3BB8C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150</w:t>
            </w:r>
          </w:p>
        </w:tc>
        <w:tc>
          <w:tcPr>
            <w:tcW w:w="1427" w:type="dxa"/>
            <w:vMerge/>
          </w:tcPr>
          <w:p w14:paraId="496ECD37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2436523C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7AC2E387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Person-Years</w:t>
            </w:r>
          </w:p>
        </w:tc>
        <w:tc>
          <w:tcPr>
            <w:tcW w:w="1980" w:type="dxa"/>
          </w:tcPr>
          <w:p w14:paraId="219FAFDA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43,730</w:t>
            </w:r>
          </w:p>
        </w:tc>
        <w:tc>
          <w:tcPr>
            <w:tcW w:w="1980" w:type="dxa"/>
          </w:tcPr>
          <w:p w14:paraId="0629F0C7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45,247</w:t>
            </w:r>
          </w:p>
        </w:tc>
        <w:tc>
          <w:tcPr>
            <w:tcW w:w="1427" w:type="dxa"/>
            <w:vMerge/>
          </w:tcPr>
          <w:p w14:paraId="1206A6B6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2A38F971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52FD9187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Unadjusted Rate/1000 person-years (95% CI)</w:t>
            </w:r>
          </w:p>
        </w:tc>
        <w:tc>
          <w:tcPr>
            <w:tcW w:w="1980" w:type="dxa"/>
          </w:tcPr>
          <w:p w14:paraId="64C4B7B1" w14:textId="575299C0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3.</w:t>
            </w:r>
            <w:r w:rsidR="00F503B1">
              <w:rPr>
                <w:rFonts w:ascii="Arial" w:eastAsiaTheme="minorHAnsi" w:hAnsi="Arial" w:cs="Arial"/>
              </w:rPr>
              <w:t>69</w:t>
            </w:r>
            <w:r w:rsidRPr="00D37DD0">
              <w:rPr>
                <w:rFonts w:ascii="Arial" w:eastAsiaTheme="minorHAnsi" w:hAnsi="Arial" w:cs="Arial"/>
              </w:rPr>
              <w:t xml:space="preserve"> (3.</w:t>
            </w:r>
            <w:r w:rsidR="00F503B1">
              <w:rPr>
                <w:rFonts w:ascii="Arial" w:eastAsiaTheme="minorHAnsi" w:hAnsi="Arial" w:cs="Arial"/>
              </w:rPr>
              <w:t>16</w:t>
            </w:r>
            <w:r w:rsidRPr="00D37DD0">
              <w:rPr>
                <w:rFonts w:ascii="Arial" w:eastAsiaTheme="minorHAnsi" w:hAnsi="Arial" w:cs="Arial"/>
              </w:rPr>
              <w:t>, 4.3</w:t>
            </w:r>
            <w:r w:rsidR="00F503B1">
              <w:rPr>
                <w:rFonts w:ascii="Arial" w:eastAsiaTheme="minorHAnsi" w:hAnsi="Arial" w:cs="Arial"/>
              </w:rPr>
              <w:t>0</w:t>
            </w:r>
            <w:r w:rsidRPr="00D37DD0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980" w:type="dxa"/>
          </w:tcPr>
          <w:p w14:paraId="69C7DE5C" w14:textId="42771069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3.3</w:t>
            </w:r>
            <w:r w:rsidR="00F503B1">
              <w:rPr>
                <w:rFonts w:ascii="Arial" w:eastAsiaTheme="minorHAnsi" w:hAnsi="Arial" w:cs="Arial"/>
              </w:rPr>
              <w:t>1</w:t>
            </w:r>
            <w:r w:rsidRPr="00D37DD0">
              <w:rPr>
                <w:rFonts w:ascii="Arial" w:eastAsiaTheme="minorHAnsi" w:hAnsi="Arial" w:cs="Arial"/>
              </w:rPr>
              <w:t xml:space="preserve"> (2.8</w:t>
            </w:r>
            <w:r w:rsidR="00F503B1">
              <w:rPr>
                <w:rFonts w:ascii="Arial" w:eastAsiaTheme="minorHAnsi" w:hAnsi="Arial" w:cs="Arial"/>
              </w:rPr>
              <w:t>2</w:t>
            </w:r>
            <w:r w:rsidRPr="00D37DD0">
              <w:rPr>
                <w:rFonts w:ascii="Arial" w:eastAsiaTheme="minorHAnsi" w:hAnsi="Arial" w:cs="Arial"/>
              </w:rPr>
              <w:t>, 3.</w:t>
            </w:r>
            <w:r w:rsidR="00F503B1">
              <w:rPr>
                <w:rFonts w:ascii="Arial" w:eastAsiaTheme="minorHAnsi" w:hAnsi="Arial" w:cs="Arial"/>
              </w:rPr>
              <w:t>88</w:t>
            </w:r>
            <w:r w:rsidRPr="00D37DD0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427" w:type="dxa"/>
            <w:vMerge/>
          </w:tcPr>
          <w:p w14:paraId="33AA6031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25974F0E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66C61C05" w14:textId="77777777" w:rsidR="003B2B03" w:rsidRPr="00D37DD0" w:rsidRDefault="003B2B03" w:rsidP="003B2B03">
            <w:pPr>
              <w:spacing w:line="360" w:lineRule="auto"/>
              <w:ind w:firstLine="36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Hazard Ratio</w:t>
            </w:r>
            <w:r w:rsidRPr="00D37DD0">
              <w:rPr>
                <w:rFonts w:ascii="Arial" w:eastAsiaTheme="minorHAnsi" w:hAnsi="Arial" w:cs="Arial"/>
                <w:vertAlign w:val="superscript"/>
              </w:rPr>
              <w:t>a</w:t>
            </w:r>
            <w:r w:rsidRPr="00D37DD0">
              <w:rPr>
                <w:rFonts w:ascii="Arial" w:eastAsiaTheme="minorHAnsi" w:hAnsi="Arial" w:cs="Arial"/>
              </w:rPr>
              <w:t xml:space="preserve"> (95% CI)</w:t>
            </w:r>
          </w:p>
        </w:tc>
        <w:tc>
          <w:tcPr>
            <w:tcW w:w="1980" w:type="dxa"/>
          </w:tcPr>
          <w:p w14:paraId="592DDFF4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>1.11 (0.92, 1.35</w:t>
            </w:r>
          </w:p>
        </w:tc>
        <w:tc>
          <w:tcPr>
            <w:tcW w:w="1980" w:type="dxa"/>
          </w:tcPr>
          <w:p w14:paraId="4FF5824F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 xml:space="preserve">Reference </w:t>
            </w:r>
          </w:p>
        </w:tc>
        <w:tc>
          <w:tcPr>
            <w:tcW w:w="1427" w:type="dxa"/>
            <w:vMerge/>
          </w:tcPr>
          <w:p w14:paraId="1894F568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3B2B03" w:rsidRPr="00D37DD0" w14:paraId="1960E61F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38C08F5F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b/>
              </w:rPr>
              <w:t>eGFR &lt;45 ml/min (N in weighted cohort)</w:t>
            </w:r>
          </w:p>
        </w:tc>
        <w:tc>
          <w:tcPr>
            <w:tcW w:w="1980" w:type="dxa"/>
          </w:tcPr>
          <w:p w14:paraId="4E490DB2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2193</w:t>
            </w:r>
          </w:p>
        </w:tc>
        <w:tc>
          <w:tcPr>
            <w:tcW w:w="1980" w:type="dxa"/>
          </w:tcPr>
          <w:p w14:paraId="639F4BDD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2183</w:t>
            </w:r>
          </w:p>
        </w:tc>
        <w:tc>
          <w:tcPr>
            <w:tcW w:w="1427" w:type="dxa"/>
            <w:vMerge/>
          </w:tcPr>
          <w:p w14:paraId="712E5432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0275550B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3568F2BA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  <w:i/>
              </w:rPr>
              <w:t xml:space="preserve">Lactic Acidosis Hospitalization </w:t>
            </w:r>
          </w:p>
        </w:tc>
        <w:tc>
          <w:tcPr>
            <w:tcW w:w="1980" w:type="dxa"/>
          </w:tcPr>
          <w:p w14:paraId="16349DA5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32</w:t>
            </w:r>
          </w:p>
        </w:tc>
        <w:tc>
          <w:tcPr>
            <w:tcW w:w="1980" w:type="dxa"/>
          </w:tcPr>
          <w:p w14:paraId="7B906EC5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30</w:t>
            </w:r>
          </w:p>
        </w:tc>
        <w:tc>
          <w:tcPr>
            <w:tcW w:w="1427" w:type="dxa"/>
            <w:vMerge/>
          </w:tcPr>
          <w:p w14:paraId="6EF685BB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46A7D6D4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6A4C2F15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Person-Years</w:t>
            </w:r>
          </w:p>
        </w:tc>
        <w:tc>
          <w:tcPr>
            <w:tcW w:w="1980" w:type="dxa"/>
          </w:tcPr>
          <w:p w14:paraId="07B7194B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2467</w:t>
            </w:r>
          </w:p>
        </w:tc>
        <w:tc>
          <w:tcPr>
            <w:tcW w:w="1980" w:type="dxa"/>
          </w:tcPr>
          <w:p w14:paraId="16520281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3474</w:t>
            </w:r>
          </w:p>
        </w:tc>
        <w:tc>
          <w:tcPr>
            <w:tcW w:w="1427" w:type="dxa"/>
            <w:vMerge/>
          </w:tcPr>
          <w:p w14:paraId="6336C170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604CB109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2FE9677F" w14:textId="77777777" w:rsidR="003B2B03" w:rsidRPr="00D37DD0" w:rsidRDefault="003B2B03" w:rsidP="003B2B03">
            <w:pPr>
              <w:spacing w:line="360" w:lineRule="auto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Unadjusted Rate/1000 person-years (95% CI)</w:t>
            </w:r>
          </w:p>
        </w:tc>
        <w:tc>
          <w:tcPr>
            <w:tcW w:w="1980" w:type="dxa"/>
          </w:tcPr>
          <w:p w14:paraId="28343CDE" w14:textId="60E7B201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12.</w:t>
            </w:r>
            <w:r w:rsidR="00F503B1">
              <w:rPr>
                <w:rFonts w:ascii="Arial" w:eastAsiaTheme="minorHAnsi" w:hAnsi="Arial" w:cs="Arial"/>
              </w:rPr>
              <w:t>90</w:t>
            </w:r>
            <w:r w:rsidRPr="00D37DD0">
              <w:rPr>
                <w:rFonts w:ascii="Arial" w:eastAsiaTheme="minorHAnsi" w:hAnsi="Arial" w:cs="Arial"/>
              </w:rPr>
              <w:t xml:space="preserve"> (9.1</w:t>
            </w:r>
            <w:r w:rsidR="00F503B1">
              <w:rPr>
                <w:rFonts w:ascii="Arial" w:eastAsiaTheme="minorHAnsi" w:hAnsi="Arial" w:cs="Arial"/>
              </w:rPr>
              <w:t>4</w:t>
            </w:r>
            <w:r w:rsidRPr="00D37DD0">
              <w:rPr>
                <w:rFonts w:ascii="Arial" w:eastAsiaTheme="minorHAnsi" w:hAnsi="Arial" w:cs="Arial"/>
              </w:rPr>
              <w:t>, 18.</w:t>
            </w:r>
            <w:r w:rsidR="00F503B1">
              <w:rPr>
                <w:rFonts w:ascii="Arial" w:eastAsiaTheme="minorHAnsi" w:hAnsi="Arial" w:cs="Arial"/>
              </w:rPr>
              <w:t>17</w:t>
            </w:r>
            <w:r w:rsidRPr="00D37DD0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980" w:type="dxa"/>
          </w:tcPr>
          <w:p w14:paraId="770FE04B" w14:textId="399B7FCC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8.6</w:t>
            </w:r>
            <w:r w:rsidR="00F503B1">
              <w:rPr>
                <w:rFonts w:ascii="Arial" w:eastAsiaTheme="minorHAnsi" w:hAnsi="Arial" w:cs="Arial"/>
              </w:rPr>
              <w:t>2</w:t>
            </w:r>
            <w:r w:rsidRPr="00D37DD0">
              <w:rPr>
                <w:rFonts w:ascii="Arial" w:eastAsiaTheme="minorHAnsi" w:hAnsi="Arial" w:cs="Arial"/>
              </w:rPr>
              <w:t xml:space="preserve"> (6.0</w:t>
            </w:r>
            <w:r w:rsidR="00F503B1">
              <w:rPr>
                <w:rFonts w:ascii="Arial" w:eastAsiaTheme="minorHAnsi" w:hAnsi="Arial" w:cs="Arial"/>
              </w:rPr>
              <w:t>4</w:t>
            </w:r>
            <w:r w:rsidRPr="00D37DD0">
              <w:rPr>
                <w:rFonts w:ascii="Arial" w:eastAsiaTheme="minorHAnsi" w:hAnsi="Arial" w:cs="Arial"/>
              </w:rPr>
              <w:t>, 12.3</w:t>
            </w:r>
            <w:r w:rsidR="00F503B1">
              <w:rPr>
                <w:rFonts w:ascii="Arial" w:eastAsiaTheme="minorHAnsi" w:hAnsi="Arial" w:cs="Arial"/>
              </w:rPr>
              <w:t>29</w:t>
            </w:r>
            <w:r w:rsidRPr="00D37DD0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427" w:type="dxa"/>
            <w:vMerge/>
          </w:tcPr>
          <w:p w14:paraId="371CA0AC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3B2B03" w:rsidRPr="00D37DD0" w14:paraId="69DA0ED2" w14:textId="77777777" w:rsidTr="00F503B1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noWrap/>
          </w:tcPr>
          <w:p w14:paraId="79309C34" w14:textId="77777777" w:rsidR="003B2B03" w:rsidRPr="00D37DD0" w:rsidRDefault="003B2B03" w:rsidP="003B2B03">
            <w:pPr>
              <w:spacing w:line="360" w:lineRule="auto"/>
              <w:ind w:firstLine="36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Hazard Ratio (95% CI)</w:t>
            </w:r>
          </w:p>
        </w:tc>
        <w:tc>
          <w:tcPr>
            <w:tcW w:w="1980" w:type="dxa"/>
          </w:tcPr>
          <w:p w14:paraId="58E57358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</w:rPr>
            </w:pPr>
            <w:r w:rsidRPr="00D37DD0">
              <w:rPr>
                <w:rFonts w:ascii="Arial" w:eastAsiaTheme="minorHAnsi" w:hAnsi="Arial" w:cs="Arial"/>
              </w:rPr>
              <w:t>1.31 (0.85, 2.01)</w:t>
            </w:r>
          </w:p>
        </w:tc>
        <w:tc>
          <w:tcPr>
            <w:tcW w:w="1980" w:type="dxa"/>
          </w:tcPr>
          <w:p w14:paraId="7586EBEE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</w:rPr>
            </w:pPr>
            <w:r w:rsidRPr="00D37DD0">
              <w:rPr>
                <w:rFonts w:ascii="Arial" w:eastAsiaTheme="minorHAnsi" w:hAnsi="Arial" w:cs="Arial"/>
                <w:b/>
              </w:rPr>
              <w:t xml:space="preserve">Reference </w:t>
            </w:r>
          </w:p>
        </w:tc>
        <w:tc>
          <w:tcPr>
            <w:tcW w:w="1427" w:type="dxa"/>
            <w:vMerge/>
          </w:tcPr>
          <w:p w14:paraId="5415F80E" w14:textId="77777777" w:rsidR="003B2B03" w:rsidRPr="00D37DD0" w:rsidRDefault="003B2B03" w:rsidP="003B2B03">
            <w:pPr>
              <w:spacing w:line="360" w:lineRule="auto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</w:tbl>
    <w:p w14:paraId="2A072998" w14:textId="6EA549E2" w:rsidR="008B7651" w:rsidRPr="00D37DD0" w:rsidRDefault="0093780D" w:rsidP="008B7651">
      <w:pPr>
        <w:spacing w:after="0"/>
        <w:rPr>
          <w:rFonts w:ascii="Arial" w:hAnsi="Arial" w:cs="Arial"/>
          <w:sz w:val="20"/>
          <w:szCs w:val="20"/>
        </w:rPr>
      </w:pPr>
      <w:r w:rsidRPr="00D37DD0">
        <w:rPr>
          <w:rFonts w:ascii="Arial" w:hAnsi="Arial" w:cs="Arial"/>
          <w:b/>
          <w:sz w:val="20"/>
          <w:szCs w:val="20"/>
          <w:vertAlign w:val="superscript"/>
        </w:rPr>
        <w:t>a</w:t>
      </w:r>
      <w:r w:rsidR="008B7651" w:rsidRPr="00D37DD0">
        <w:rPr>
          <w:rFonts w:ascii="Arial" w:hAnsi="Arial" w:cs="Arial"/>
          <w:b/>
          <w:sz w:val="20"/>
          <w:szCs w:val="20"/>
        </w:rPr>
        <w:t xml:space="preserve"> </w:t>
      </w:r>
      <w:r w:rsidR="008B7651" w:rsidRPr="00D37DD0">
        <w:rPr>
          <w:rFonts w:ascii="Arial" w:hAnsi="Arial" w:cs="Arial"/>
          <w:sz w:val="20"/>
          <w:szCs w:val="20"/>
        </w:rPr>
        <w:t xml:space="preserve">Cox Proportional Hazards model for time to event. All continuous variables were modeled as restricted cubic splines. </w:t>
      </w:r>
    </w:p>
    <w:p w14:paraId="0BE153B4" w14:textId="03822D39" w:rsidR="0095764A" w:rsidRPr="00D37DD0" w:rsidRDefault="0095764A" w:rsidP="003B2B03">
      <w:pPr>
        <w:tabs>
          <w:tab w:val="left" w:pos="6804"/>
        </w:tabs>
        <w:spacing w:after="0"/>
        <w:rPr>
          <w:rFonts w:ascii="Arial" w:hAnsi="Arial" w:cs="Arial"/>
          <w:b/>
          <w:sz w:val="20"/>
          <w:szCs w:val="20"/>
        </w:rPr>
      </w:pPr>
      <w:r w:rsidRPr="00D37DD0">
        <w:rPr>
          <w:rFonts w:ascii="Arial" w:hAnsi="Arial" w:cs="Arial"/>
          <w:sz w:val="20"/>
          <w:szCs w:val="20"/>
          <w:vertAlign w:val="superscript"/>
        </w:rPr>
        <w:lastRenderedPageBreak/>
        <w:t>b</w:t>
      </w:r>
      <w:r w:rsidRPr="00D37DD0">
        <w:rPr>
          <w:rFonts w:ascii="Arial" w:hAnsi="Arial" w:cs="Arial"/>
          <w:sz w:val="20"/>
          <w:szCs w:val="20"/>
        </w:rPr>
        <w:t xml:space="preserve"> Hazard ratio could not be calculated given low number of events</w:t>
      </w:r>
      <w:r w:rsidR="003B2B03">
        <w:rPr>
          <w:rFonts w:ascii="Arial" w:hAnsi="Arial" w:cs="Arial"/>
          <w:sz w:val="20"/>
          <w:szCs w:val="20"/>
        </w:rPr>
        <w:tab/>
        <w:t>.</w:t>
      </w:r>
    </w:p>
    <w:p w14:paraId="4A49DD65" w14:textId="09400E29" w:rsidR="00FE2AE1" w:rsidRPr="0095764A" w:rsidRDefault="00F20B71" w:rsidP="00AA74E9">
      <w:pPr>
        <w:spacing w:after="8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</w:t>
      </w:r>
      <w:r w:rsidR="000632CB" w:rsidRPr="000632CB">
        <w:rPr>
          <w:rFonts w:ascii="Arial" w:hAnsi="Arial" w:cs="Arial"/>
          <w:b/>
          <w:sz w:val="20"/>
          <w:szCs w:val="20"/>
        </w:rPr>
        <w:t xml:space="preserve"> Figure </w:t>
      </w:r>
      <w:r>
        <w:rPr>
          <w:rFonts w:ascii="Arial" w:hAnsi="Arial" w:cs="Arial"/>
          <w:b/>
          <w:sz w:val="20"/>
          <w:szCs w:val="20"/>
        </w:rPr>
        <w:t>1</w:t>
      </w:r>
      <w:r w:rsidR="000632CB">
        <w:rPr>
          <w:rFonts w:ascii="Arial" w:hAnsi="Arial" w:cs="Arial"/>
          <w:b/>
          <w:sz w:val="20"/>
          <w:szCs w:val="20"/>
        </w:rPr>
        <w:t xml:space="preserve"> </w:t>
      </w:r>
      <w:r w:rsidR="00FE2AE1" w:rsidRPr="0095764A">
        <w:rPr>
          <w:rFonts w:ascii="Arial" w:hAnsi="Arial" w:cs="Arial"/>
          <w:b/>
          <w:sz w:val="20"/>
          <w:szCs w:val="20"/>
        </w:rPr>
        <w:t xml:space="preserve">Study Design Schematic </w:t>
      </w:r>
    </w:p>
    <w:p w14:paraId="47EADAE6" w14:textId="77777777" w:rsidR="00DC02C6" w:rsidRPr="0095764A" w:rsidRDefault="00DC02C6" w:rsidP="0001303D">
      <w:pPr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14:paraId="0EBF3C64" w14:textId="196EBA39" w:rsidR="00DD3056" w:rsidRPr="0095764A" w:rsidRDefault="00FE2AE1" w:rsidP="0001303D">
      <w:p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 w:rsidRPr="0095764A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Main analysis: Comparison of metformin versus sulfonylurea initiators who reached the </w:t>
      </w:r>
      <w:r w:rsidR="00AE7694" w:rsidRPr="0095764A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kidney</w:t>
      </w:r>
      <w:r w:rsidRPr="0095764A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threshold, </w:t>
      </w:r>
      <w:r w:rsidR="00191BAD" w:rsidRPr="0095764A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and </w:t>
      </w:r>
      <w:r w:rsidRPr="0095764A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continued their original regimen, persistent exposure on the original regimen is required to remain in follow-up. </w:t>
      </w:r>
      <w:r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Gaps (red bars) of up to 90 days are allowed for medication refill</w:t>
      </w:r>
      <w:r w:rsidR="00191BAD"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after reaching </w:t>
      </w:r>
      <w:r w:rsidR="00AE7694"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kidney</w:t>
      </w:r>
      <w:r w:rsidR="00191BAD"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threshold</w:t>
      </w:r>
      <w:r w:rsidRPr="0095764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Patients begin follow-up at the </w:t>
      </w:r>
      <w:r w:rsidR="00AE7694"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kidney</w:t>
      </w:r>
      <w:r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threshold and are censored at addition of another diabetes treatment or no medication refill </w:t>
      </w:r>
      <w:r w:rsidR="00191B11"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for</w:t>
      </w:r>
      <w:r w:rsidRPr="0095764A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90 days. </w:t>
      </w:r>
    </w:p>
    <w:p w14:paraId="0AE5963E" w14:textId="77777777" w:rsidR="00D67E52" w:rsidRPr="0095764A" w:rsidRDefault="00D67E52" w:rsidP="0001303D">
      <w:pPr>
        <w:spacing w:after="0" w:line="240" w:lineRule="auto"/>
        <w:textAlignment w:val="baseline"/>
        <w:rPr>
          <w:rFonts w:ascii="Arial" w:eastAsia="Calibri" w:hAnsi="Arial" w:cs="Arial"/>
          <w:noProof/>
          <w:color w:val="000000"/>
          <w:sz w:val="20"/>
          <w:szCs w:val="20"/>
        </w:rPr>
      </w:pPr>
    </w:p>
    <w:p w14:paraId="1CA7058A" w14:textId="5B6A7C04" w:rsidR="00191BAD" w:rsidRPr="0095764A" w:rsidRDefault="00AE7694" w:rsidP="0001303D">
      <w:pPr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95764A">
        <w:rPr>
          <w:rFonts w:ascii="Arial" w:eastAsia="Calibri" w:hAnsi="Arial" w:cs="Arial"/>
          <w:noProof/>
          <w:color w:val="000000"/>
          <w:sz w:val="20"/>
          <w:szCs w:val="20"/>
        </w:rPr>
        <w:drawing>
          <wp:inline distT="0" distB="0" distL="0" distR="0" wp14:anchorId="78ADF13E" wp14:editId="0A6F6B39">
            <wp:extent cx="6062656" cy="2333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913" cy="2346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115FF" w14:textId="296E056A" w:rsidR="0001303D" w:rsidRPr="0095764A" w:rsidRDefault="0001303D" w:rsidP="0001303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14:paraId="5F678B1C" w14:textId="310F62DD" w:rsidR="00D67E52" w:rsidRPr="0095764A" w:rsidRDefault="00D67E52" w:rsidP="0001303D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14:paraId="2A4EEA22" w14:textId="77777777" w:rsidR="00AD5EAD" w:rsidRDefault="00AD5EA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5335153" w14:textId="3C34693A" w:rsidR="00F878BC" w:rsidRPr="0095764A" w:rsidRDefault="00F20B71" w:rsidP="00F878BC">
      <w:pPr>
        <w:pStyle w:val="NormalWeb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Supplementary</w:t>
      </w:r>
      <w:r w:rsidR="000632CB" w:rsidRPr="000632CB">
        <w:rPr>
          <w:rFonts w:ascii="Arial" w:hAnsi="Arial" w:cs="Arial"/>
          <w:b/>
          <w:color w:val="000000"/>
          <w:sz w:val="20"/>
          <w:szCs w:val="20"/>
        </w:rPr>
        <w:t xml:space="preserve"> Figure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0632CB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F878BC" w:rsidRPr="0095764A">
        <w:rPr>
          <w:rFonts w:ascii="Arial" w:hAnsi="Arial" w:cs="Arial"/>
          <w:b/>
          <w:color w:val="000000"/>
          <w:sz w:val="20"/>
          <w:szCs w:val="20"/>
        </w:rPr>
        <w:t xml:space="preserve">Distribution of </w:t>
      </w:r>
      <w:r w:rsidR="001A6CAA" w:rsidRPr="0095764A">
        <w:rPr>
          <w:rFonts w:ascii="Arial" w:hAnsi="Arial" w:cs="Arial"/>
          <w:b/>
          <w:color w:val="000000"/>
          <w:sz w:val="20"/>
          <w:szCs w:val="20"/>
        </w:rPr>
        <w:t xml:space="preserve">logit of </w:t>
      </w:r>
      <w:r w:rsidR="00F878BC" w:rsidRPr="0095764A">
        <w:rPr>
          <w:rFonts w:ascii="Arial" w:hAnsi="Arial" w:cs="Arial"/>
          <w:b/>
          <w:color w:val="000000"/>
          <w:sz w:val="20"/>
          <w:szCs w:val="20"/>
        </w:rPr>
        <w:t>propensity scores by drug</w:t>
      </w:r>
      <w:r w:rsidR="00FA382E" w:rsidRPr="0095764A">
        <w:rPr>
          <w:rFonts w:ascii="Arial" w:hAnsi="Arial" w:cs="Arial"/>
          <w:b/>
          <w:color w:val="000000"/>
          <w:sz w:val="20"/>
          <w:szCs w:val="20"/>
        </w:rPr>
        <w:softHyphen/>
      </w:r>
      <w:r w:rsidR="00FA382E" w:rsidRPr="0095764A">
        <w:rPr>
          <w:rFonts w:ascii="Arial" w:hAnsi="Arial" w:cs="Arial"/>
          <w:b/>
          <w:color w:val="000000"/>
          <w:sz w:val="20"/>
          <w:szCs w:val="20"/>
        </w:rPr>
        <w:softHyphen/>
      </w:r>
      <w:r w:rsidR="00FA382E" w:rsidRPr="0095764A">
        <w:rPr>
          <w:rFonts w:ascii="Arial" w:hAnsi="Arial" w:cs="Arial"/>
          <w:b/>
          <w:color w:val="000000"/>
          <w:sz w:val="20"/>
          <w:szCs w:val="20"/>
        </w:rPr>
        <w:softHyphen/>
      </w:r>
    </w:p>
    <w:p w14:paraId="128B4DD6" w14:textId="7F5EFC0B" w:rsidR="00C03FEF" w:rsidRPr="0095764A" w:rsidRDefault="007872EB" w:rsidP="00F878BC">
      <w:pPr>
        <w:pStyle w:val="NormalWeb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5764A">
        <w:rPr>
          <w:rFonts w:ascii="Arial" w:hAnsi="Arial" w:cs="Arial"/>
          <w:noProof/>
          <w:color w:val="000000"/>
          <w:sz w:val="20"/>
          <w:szCs w:val="20"/>
        </w:rPr>
        <w:softHyphen/>
      </w:r>
      <w:r w:rsidRPr="0095764A">
        <w:rPr>
          <w:rFonts w:ascii="Arial" w:hAnsi="Arial" w:cs="Arial"/>
          <w:noProof/>
          <w:color w:val="000000"/>
          <w:sz w:val="20"/>
          <w:szCs w:val="20"/>
        </w:rPr>
        <w:softHyphen/>
      </w:r>
      <w:r w:rsidR="00FA382E" w:rsidRPr="0095764A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9F837E4" wp14:editId="06BAED8E">
            <wp:extent cx="45720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endix efigure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BFAE" w14:textId="77777777" w:rsidR="00F878BC" w:rsidRPr="0095764A" w:rsidRDefault="00F878BC" w:rsidP="00D008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C9D70F1" w14:textId="10E33925" w:rsidR="00F878BC" w:rsidRPr="0095764A" w:rsidRDefault="00F878BC" w:rsidP="00D008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0F4310D" w14:textId="030A7ED1" w:rsidR="00C03FEF" w:rsidRPr="0095764A" w:rsidRDefault="00C03FEF" w:rsidP="00D008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4AFC927" w14:textId="10AC58B6" w:rsidR="00C03FEF" w:rsidRPr="0095764A" w:rsidRDefault="00C03FEF">
      <w:pPr>
        <w:rPr>
          <w:rFonts w:ascii="Arial" w:hAnsi="Arial" w:cs="Arial"/>
          <w:color w:val="000000"/>
          <w:sz w:val="20"/>
          <w:szCs w:val="20"/>
        </w:rPr>
      </w:pPr>
      <w:r w:rsidRPr="0095764A">
        <w:rPr>
          <w:rFonts w:ascii="Arial" w:hAnsi="Arial" w:cs="Arial"/>
          <w:color w:val="000000"/>
          <w:sz w:val="20"/>
          <w:szCs w:val="20"/>
        </w:rPr>
        <w:br w:type="page"/>
      </w:r>
    </w:p>
    <w:p w14:paraId="659EFA07" w14:textId="7D7FBDC1" w:rsidR="00C03FEF" w:rsidRPr="0095764A" w:rsidRDefault="00F20B71" w:rsidP="00F03D3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Supplementary</w:t>
      </w:r>
      <w:r w:rsidR="000632CB" w:rsidRPr="000632CB">
        <w:rPr>
          <w:rFonts w:ascii="Arial" w:hAnsi="Arial" w:cs="Arial"/>
          <w:b/>
          <w:color w:val="000000"/>
          <w:sz w:val="20"/>
          <w:szCs w:val="20"/>
        </w:rPr>
        <w:t xml:space="preserve"> Figure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C03FEF" w:rsidRPr="0095764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1A2389" w:rsidRPr="0095764A">
        <w:rPr>
          <w:rFonts w:ascii="Arial" w:hAnsi="Arial" w:cs="Arial"/>
          <w:b/>
          <w:color w:val="000000"/>
          <w:sz w:val="20"/>
          <w:szCs w:val="20"/>
        </w:rPr>
        <w:t>Mean standardized differences comparing metformin versus sulfonylurea before and after weighting the cohort</w:t>
      </w:r>
    </w:p>
    <w:p w14:paraId="66B0D304" w14:textId="6564EE8B" w:rsidR="00FA382E" w:rsidRPr="0095764A" w:rsidRDefault="00FA382E" w:rsidP="00D008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95764A"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37D7C5EB" wp14:editId="1F13602C">
            <wp:extent cx="4106333" cy="7391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 efigure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8720" cy="741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3DA9" w14:textId="77777777" w:rsidR="00FA382E" w:rsidRPr="0095764A" w:rsidRDefault="00FA382E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5764A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249AE58C" w14:textId="77777777" w:rsidR="00D86F60" w:rsidRPr="0095764A" w:rsidRDefault="00D86F60" w:rsidP="00D008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4A4FAD1A" w14:textId="4C2640DD" w:rsidR="00BD78D7" w:rsidRPr="0095764A" w:rsidRDefault="00F20B71" w:rsidP="00D008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Supplementary</w:t>
      </w:r>
      <w:r w:rsidR="000632CB" w:rsidRPr="000632CB">
        <w:rPr>
          <w:rFonts w:ascii="Arial" w:hAnsi="Arial" w:cs="Arial"/>
          <w:b/>
          <w:color w:val="000000"/>
          <w:sz w:val="20"/>
          <w:szCs w:val="20"/>
        </w:rPr>
        <w:t xml:space="preserve"> Figure 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  <w:bookmarkStart w:id="2" w:name="_GoBack"/>
      <w:bookmarkEnd w:id="2"/>
      <w:r w:rsidR="00A0455F" w:rsidRPr="0095764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840BB6" w:rsidRPr="0095764A">
        <w:rPr>
          <w:rFonts w:ascii="Arial" w:hAnsi="Arial" w:cs="Arial"/>
          <w:b/>
          <w:color w:val="000000"/>
          <w:sz w:val="20"/>
          <w:szCs w:val="20"/>
        </w:rPr>
        <w:t xml:space="preserve">Deviance of baseline covariates </w:t>
      </w:r>
      <w:r w:rsidR="00424B56" w:rsidRPr="0095764A">
        <w:rPr>
          <w:rFonts w:ascii="Arial" w:hAnsi="Arial" w:cs="Arial"/>
          <w:b/>
          <w:color w:val="000000"/>
          <w:sz w:val="20"/>
          <w:szCs w:val="20"/>
        </w:rPr>
        <w:t>from the Propensity Score Model</w:t>
      </w:r>
      <w:r w:rsidR="00BD78D7" w:rsidRPr="0095764A">
        <w:rPr>
          <w:rFonts w:ascii="Arial" w:hAnsi="Arial" w:cs="Arial"/>
          <w:b/>
          <w:color w:val="000000"/>
          <w:sz w:val="20"/>
          <w:szCs w:val="20"/>
        </w:rPr>
        <w:t>,</w:t>
      </w:r>
      <w:r w:rsidR="00424B56" w:rsidRPr="009576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D78D7" w:rsidRPr="0095764A">
        <w:rPr>
          <w:rFonts w:ascii="Arial" w:hAnsi="Arial" w:cs="Arial"/>
          <w:b/>
          <w:color w:val="000000"/>
          <w:sz w:val="20"/>
          <w:szCs w:val="20"/>
        </w:rPr>
        <w:t xml:space="preserve">relative </w:t>
      </w:r>
      <w:r w:rsidR="00840BB6" w:rsidRPr="0095764A">
        <w:rPr>
          <w:rFonts w:ascii="Arial" w:hAnsi="Arial" w:cs="Arial"/>
          <w:b/>
          <w:color w:val="000000"/>
          <w:sz w:val="20"/>
          <w:szCs w:val="20"/>
        </w:rPr>
        <w:t>contribution of each covariate in predicting exposure group.</w:t>
      </w:r>
      <w:r w:rsidR="00D86F60" w:rsidRPr="0095764A">
        <w:rPr>
          <w:sz w:val="20"/>
          <w:szCs w:val="20"/>
        </w:rPr>
        <w:t xml:space="preserve"> </w:t>
      </w:r>
    </w:p>
    <w:p w14:paraId="5589D86C" w14:textId="075A5D5B" w:rsidR="00DE75D5" w:rsidRPr="0095764A" w:rsidRDefault="00FA382E" w:rsidP="00D008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95764A">
        <w:rPr>
          <w:rFonts w:ascii="Arial" w:hAnsi="Arial" w:cs="Arial"/>
          <w:noProof/>
          <w:color w:val="000000"/>
          <w:sz w:val="20"/>
          <w:szCs w:val="20"/>
          <w:vertAlign w:val="subscript"/>
        </w:rPr>
        <w:drawing>
          <wp:inline distT="0" distB="0" distL="0" distR="0" wp14:anchorId="429028DA" wp14:editId="65E7C416">
            <wp:extent cx="4773930" cy="68199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endix efigure 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393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E76C7" w14:textId="062B7979" w:rsidR="00F46FD7" w:rsidRPr="00EC0C27" w:rsidRDefault="00F46FD7" w:rsidP="00EC0C27">
      <w:pPr>
        <w:rPr>
          <w:rFonts w:ascii="Arial" w:eastAsia="Times New Roman" w:hAnsi="Arial" w:cs="Arial"/>
          <w:color w:val="000000"/>
          <w:sz w:val="20"/>
          <w:szCs w:val="20"/>
          <w:vertAlign w:val="subscript"/>
        </w:rPr>
      </w:pPr>
    </w:p>
    <w:sectPr w:rsidR="00F46FD7" w:rsidRPr="00EC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580"/>
    <w:multiLevelType w:val="hybridMultilevel"/>
    <w:tmpl w:val="684CC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44232"/>
    <w:multiLevelType w:val="hybridMultilevel"/>
    <w:tmpl w:val="3DEAC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569D9"/>
    <w:multiLevelType w:val="hybridMultilevel"/>
    <w:tmpl w:val="0456C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542FA"/>
    <w:multiLevelType w:val="hybridMultilevel"/>
    <w:tmpl w:val="450EB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60272"/>
    <w:multiLevelType w:val="hybridMultilevel"/>
    <w:tmpl w:val="6ED0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6D51"/>
    <w:multiLevelType w:val="hybridMultilevel"/>
    <w:tmpl w:val="3DEAC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56"/>
    <w:rsid w:val="00000D51"/>
    <w:rsid w:val="000053F6"/>
    <w:rsid w:val="0001303D"/>
    <w:rsid w:val="00017329"/>
    <w:rsid w:val="000241CF"/>
    <w:rsid w:val="00030461"/>
    <w:rsid w:val="00055879"/>
    <w:rsid w:val="0006061B"/>
    <w:rsid w:val="000632CB"/>
    <w:rsid w:val="0006502D"/>
    <w:rsid w:val="00075C8E"/>
    <w:rsid w:val="000774A4"/>
    <w:rsid w:val="0008685B"/>
    <w:rsid w:val="00086E91"/>
    <w:rsid w:val="000956C0"/>
    <w:rsid w:val="000A03E3"/>
    <w:rsid w:val="000A5508"/>
    <w:rsid w:val="000B1142"/>
    <w:rsid w:val="000D0B6F"/>
    <w:rsid w:val="000D1C90"/>
    <w:rsid w:val="000D5775"/>
    <w:rsid w:val="000F2591"/>
    <w:rsid w:val="000F2AD2"/>
    <w:rsid w:val="000F5EAA"/>
    <w:rsid w:val="00102F4F"/>
    <w:rsid w:val="00107909"/>
    <w:rsid w:val="00111C4E"/>
    <w:rsid w:val="00126F14"/>
    <w:rsid w:val="00132FFF"/>
    <w:rsid w:val="00154629"/>
    <w:rsid w:val="001560E2"/>
    <w:rsid w:val="00167B3F"/>
    <w:rsid w:val="00174391"/>
    <w:rsid w:val="00191B11"/>
    <w:rsid w:val="00191BAD"/>
    <w:rsid w:val="00197B6E"/>
    <w:rsid w:val="001A2389"/>
    <w:rsid w:val="001A5D0B"/>
    <w:rsid w:val="001A640F"/>
    <w:rsid w:val="001A6CAA"/>
    <w:rsid w:val="001B000B"/>
    <w:rsid w:val="001B19C1"/>
    <w:rsid w:val="001B65F7"/>
    <w:rsid w:val="001C08BE"/>
    <w:rsid w:val="00221EE0"/>
    <w:rsid w:val="00252DFE"/>
    <w:rsid w:val="0025655A"/>
    <w:rsid w:val="00262691"/>
    <w:rsid w:val="00273344"/>
    <w:rsid w:val="002804DD"/>
    <w:rsid w:val="002915A5"/>
    <w:rsid w:val="00291B97"/>
    <w:rsid w:val="002A4677"/>
    <w:rsid w:val="002B0DAB"/>
    <w:rsid w:val="002B7EB6"/>
    <w:rsid w:val="002D0762"/>
    <w:rsid w:val="002E2A65"/>
    <w:rsid w:val="002F0671"/>
    <w:rsid w:val="002F4448"/>
    <w:rsid w:val="002F7AEE"/>
    <w:rsid w:val="00302599"/>
    <w:rsid w:val="00304E43"/>
    <w:rsid w:val="00311A06"/>
    <w:rsid w:val="003131D5"/>
    <w:rsid w:val="0031678F"/>
    <w:rsid w:val="0031721E"/>
    <w:rsid w:val="0032059D"/>
    <w:rsid w:val="00325043"/>
    <w:rsid w:val="0033295C"/>
    <w:rsid w:val="003337B0"/>
    <w:rsid w:val="00357356"/>
    <w:rsid w:val="00380FF2"/>
    <w:rsid w:val="0038257B"/>
    <w:rsid w:val="0038680B"/>
    <w:rsid w:val="0039058A"/>
    <w:rsid w:val="003A2142"/>
    <w:rsid w:val="003A23F6"/>
    <w:rsid w:val="003A4306"/>
    <w:rsid w:val="003A7E60"/>
    <w:rsid w:val="003B2B03"/>
    <w:rsid w:val="003B5B20"/>
    <w:rsid w:val="003C4ED8"/>
    <w:rsid w:val="003D189B"/>
    <w:rsid w:val="003E3CD5"/>
    <w:rsid w:val="00401A27"/>
    <w:rsid w:val="00404632"/>
    <w:rsid w:val="00407A94"/>
    <w:rsid w:val="004101D1"/>
    <w:rsid w:val="00421A1D"/>
    <w:rsid w:val="00424B56"/>
    <w:rsid w:val="00424C7E"/>
    <w:rsid w:val="00426AD8"/>
    <w:rsid w:val="00446990"/>
    <w:rsid w:val="00475689"/>
    <w:rsid w:val="00475A17"/>
    <w:rsid w:val="004812FE"/>
    <w:rsid w:val="00487271"/>
    <w:rsid w:val="004A14CF"/>
    <w:rsid w:val="004A44D9"/>
    <w:rsid w:val="004B2D0F"/>
    <w:rsid w:val="004C04C4"/>
    <w:rsid w:val="004D2294"/>
    <w:rsid w:val="004D5DF1"/>
    <w:rsid w:val="004F189C"/>
    <w:rsid w:val="005005AB"/>
    <w:rsid w:val="00516847"/>
    <w:rsid w:val="00536B9A"/>
    <w:rsid w:val="005577AB"/>
    <w:rsid w:val="00563169"/>
    <w:rsid w:val="0057759A"/>
    <w:rsid w:val="005812E5"/>
    <w:rsid w:val="0058155A"/>
    <w:rsid w:val="005828FF"/>
    <w:rsid w:val="0058720A"/>
    <w:rsid w:val="00594AFF"/>
    <w:rsid w:val="00597173"/>
    <w:rsid w:val="005A43AD"/>
    <w:rsid w:val="005C2DF1"/>
    <w:rsid w:val="005D06EA"/>
    <w:rsid w:val="005E3057"/>
    <w:rsid w:val="005F2F50"/>
    <w:rsid w:val="005F4DB6"/>
    <w:rsid w:val="006313B0"/>
    <w:rsid w:val="00641933"/>
    <w:rsid w:val="00642A8C"/>
    <w:rsid w:val="0065089B"/>
    <w:rsid w:val="006660BD"/>
    <w:rsid w:val="00667147"/>
    <w:rsid w:val="00671234"/>
    <w:rsid w:val="006738A1"/>
    <w:rsid w:val="006857AC"/>
    <w:rsid w:val="0068629A"/>
    <w:rsid w:val="00691B1C"/>
    <w:rsid w:val="006A0235"/>
    <w:rsid w:val="006A5B05"/>
    <w:rsid w:val="006D291C"/>
    <w:rsid w:val="006E5964"/>
    <w:rsid w:val="006E7199"/>
    <w:rsid w:val="00703D6F"/>
    <w:rsid w:val="00704307"/>
    <w:rsid w:val="00710B89"/>
    <w:rsid w:val="007216C5"/>
    <w:rsid w:val="0074130F"/>
    <w:rsid w:val="00752F7A"/>
    <w:rsid w:val="007810FB"/>
    <w:rsid w:val="00781E08"/>
    <w:rsid w:val="00786C6F"/>
    <w:rsid w:val="007872EB"/>
    <w:rsid w:val="00790C12"/>
    <w:rsid w:val="00793B11"/>
    <w:rsid w:val="00794747"/>
    <w:rsid w:val="007A0441"/>
    <w:rsid w:val="007A573B"/>
    <w:rsid w:val="007B057D"/>
    <w:rsid w:val="007B4141"/>
    <w:rsid w:val="007B72D4"/>
    <w:rsid w:val="007D2C3B"/>
    <w:rsid w:val="007D7E91"/>
    <w:rsid w:val="007E2573"/>
    <w:rsid w:val="007E484C"/>
    <w:rsid w:val="00807AC9"/>
    <w:rsid w:val="00811443"/>
    <w:rsid w:val="00832DC5"/>
    <w:rsid w:val="00840BB6"/>
    <w:rsid w:val="0084783A"/>
    <w:rsid w:val="00861B2F"/>
    <w:rsid w:val="00866B5F"/>
    <w:rsid w:val="00884A7D"/>
    <w:rsid w:val="00885B75"/>
    <w:rsid w:val="008968D4"/>
    <w:rsid w:val="008A0933"/>
    <w:rsid w:val="008A7C78"/>
    <w:rsid w:val="008B09B6"/>
    <w:rsid w:val="008B4540"/>
    <w:rsid w:val="008B55E6"/>
    <w:rsid w:val="008B7651"/>
    <w:rsid w:val="008D00A2"/>
    <w:rsid w:val="008E4F2C"/>
    <w:rsid w:val="008F72D1"/>
    <w:rsid w:val="00905BFD"/>
    <w:rsid w:val="0092573E"/>
    <w:rsid w:val="0093780D"/>
    <w:rsid w:val="009529E7"/>
    <w:rsid w:val="00952C3A"/>
    <w:rsid w:val="009541A9"/>
    <w:rsid w:val="00955CD1"/>
    <w:rsid w:val="0095764A"/>
    <w:rsid w:val="00961AD6"/>
    <w:rsid w:val="009636C6"/>
    <w:rsid w:val="00965341"/>
    <w:rsid w:val="00967256"/>
    <w:rsid w:val="009744E2"/>
    <w:rsid w:val="00974D03"/>
    <w:rsid w:val="00977D70"/>
    <w:rsid w:val="00996E7E"/>
    <w:rsid w:val="009A0BD0"/>
    <w:rsid w:val="009A12B7"/>
    <w:rsid w:val="009A4456"/>
    <w:rsid w:val="009D7073"/>
    <w:rsid w:val="009F1056"/>
    <w:rsid w:val="00A0455F"/>
    <w:rsid w:val="00A12524"/>
    <w:rsid w:val="00A2307F"/>
    <w:rsid w:val="00A71973"/>
    <w:rsid w:val="00A734D0"/>
    <w:rsid w:val="00A8639E"/>
    <w:rsid w:val="00A97398"/>
    <w:rsid w:val="00AA74E9"/>
    <w:rsid w:val="00AA778E"/>
    <w:rsid w:val="00AC47EB"/>
    <w:rsid w:val="00AC7A70"/>
    <w:rsid w:val="00AD5EAD"/>
    <w:rsid w:val="00AE526C"/>
    <w:rsid w:val="00AE7694"/>
    <w:rsid w:val="00B00E6D"/>
    <w:rsid w:val="00B06510"/>
    <w:rsid w:val="00B245E8"/>
    <w:rsid w:val="00B2760A"/>
    <w:rsid w:val="00B317B9"/>
    <w:rsid w:val="00B37094"/>
    <w:rsid w:val="00B47737"/>
    <w:rsid w:val="00B54075"/>
    <w:rsid w:val="00B65008"/>
    <w:rsid w:val="00B73227"/>
    <w:rsid w:val="00B96801"/>
    <w:rsid w:val="00BB7F76"/>
    <w:rsid w:val="00BC2780"/>
    <w:rsid w:val="00BD78D7"/>
    <w:rsid w:val="00BE48EE"/>
    <w:rsid w:val="00BE6A43"/>
    <w:rsid w:val="00BF4FBB"/>
    <w:rsid w:val="00C03FEF"/>
    <w:rsid w:val="00C05C8F"/>
    <w:rsid w:val="00C07A48"/>
    <w:rsid w:val="00C11332"/>
    <w:rsid w:val="00C249EF"/>
    <w:rsid w:val="00C42BBD"/>
    <w:rsid w:val="00C42D2F"/>
    <w:rsid w:val="00CA06BE"/>
    <w:rsid w:val="00CC1B04"/>
    <w:rsid w:val="00CC1CF0"/>
    <w:rsid w:val="00CD358F"/>
    <w:rsid w:val="00D00811"/>
    <w:rsid w:val="00D06489"/>
    <w:rsid w:val="00D20D9B"/>
    <w:rsid w:val="00D34371"/>
    <w:rsid w:val="00D37DD0"/>
    <w:rsid w:val="00D41314"/>
    <w:rsid w:val="00D574D8"/>
    <w:rsid w:val="00D67E52"/>
    <w:rsid w:val="00D73E59"/>
    <w:rsid w:val="00D77DBB"/>
    <w:rsid w:val="00D83741"/>
    <w:rsid w:val="00D86F60"/>
    <w:rsid w:val="00D90A46"/>
    <w:rsid w:val="00D951AD"/>
    <w:rsid w:val="00DA18D9"/>
    <w:rsid w:val="00DB6490"/>
    <w:rsid w:val="00DB7591"/>
    <w:rsid w:val="00DC02C6"/>
    <w:rsid w:val="00DC7D7F"/>
    <w:rsid w:val="00DD3056"/>
    <w:rsid w:val="00DD491C"/>
    <w:rsid w:val="00DE1A3B"/>
    <w:rsid w:val="00DE35E5"/>
    <w:rsid w:val="00DE75D5"/>
    <w:rsid w:val="00DF0918"/>
    <w:rsid w:val="00E35A75"/>
    <w:rsid w:val="00E36299"/>
    <w:rsid w:val="00E5075E"/>
    <w:rsid w:val="00E570A1"/>
    <w:rsid w:val="00E637D7"/>
    <w:rsid w:val="00E9296F"/>
    <w:rsid w:val="00EC0C27"/>
    <w:rsid w:val="00EC6A42"/>
    <w:rsid w:val="00EC6AEF"/>
    <w:rsid w:val="00EC7FA3"/>
    <w:rsid w:val="00ED0422"/>
    <w:rsid w:val="00EE5597"/>
    <w:rsid w:val="00EF05A7"/>
    <w:rsid w:val="00EF10FF"/>
    <w:rsid w:val="00F03D3C"/>
    <w:rsid w:val="00F11A0A"/>
    <w:rsid w:val="00F20B71"/>
    <w:rsid w:val="00F20F37"/>
    <w:rsid w:val="00F24F87"/>
    <w:rsid w:val="00F31314"/>
    <w:rsid w:val="00F31786"/>
    <w:rsid w:val="00F35A58"/>
    <w:rsid w:val="00F46FD7"/>
    <w:rsid w:val="00F503B1"/>
    <w:rsid w:val="00F52702"/>
    <w:rsid w:val="00F55DF4"/>
    <w:rsid w:val="00F77C31"/>
    <w:rsid w:val="00F80E5E"/>
    <w:rsid w:val="00F82AB3"/>
    <w:rsid w:val="00F878BC"/>
    <w:rsid w:val="00F94C42"/>
    <w:rsid w:val="00FA382E"/>
    <w:rsid w:val="00FA718C"/>
    <w:rsid w:val="00FB0569"/>
    <w:rsid w:val="00FB07EB"/>
    <w:rsid w:val="00FB24BC"/>
    <w:rsid w:val="00FB7E90"/>
    <w:rsid w:val="00FD40F7"/>
    <w:rsid w:val="00FE2AE1"/>
    <w:rsid w:val="00FF1537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B0AB"/>
  <w15:docId w15:val="{0436912A-D984-4A91-87A4-379C8CC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056"/>
    <w:pPr>
      <w:keepNext/>
      <w:spacing w:after="0" w:line="276" w:lineRule="auto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Classic1"/>
    <w:uiPriority w:val="99"/>
    <w:rsid w:val="000D1C90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C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DD3056"/>
    <w:rPr>
      <w:rFonts w:ascii="Arial" w:hAnsi="Arial" w:cs="Arial"/>
      <w:b/>
    </w:rPr>
  </w:style>
  <w:style w:type="paragraph" w:styleId="CommentText">
    <w:name w:val="annotation text"/>
    <w:basedOn w:val="Normal"/>
    <w:link w:val="CommentTextChar"/>
    <w:uiPriority w:val="99"/>
    <w:unhideWhenUsed/>
    <w:rsid w:val="00DD305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056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D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5A5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A5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A5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5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5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Style11">
    <w:name w:val="Style11"/>
    <w:basedOn w:val="TableClassic1"/>
    <w:uiPriority w:val="99"/>
    <w:qFormat/>
    <w:rsid w:val="005005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1">
    <w:name w:val="Style111"/>
    <w:basedOn w:val="TableClassic1"/>
    <w:uiPriority w:val="99"/>
    <w:qFormat/>
    <w:rsid w:val="008A7C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8B76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7651"/>
  </w:style>
  <w:style w:type="character" w:customStyle="1" w:styleId="Heading2Char">
    <w:name w:val="Heading 2 Char"/>
    <w:basedOn w:val="DefaultParagraphFont"/>
    <w:link w:val="Heading2"/>
    <w:uiPriority w:val="9"/>
    <w:semiHidden/>
    <w:rsid w:val="008D0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D625-C056-4AA5-A58C-5414C2F7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Roumie, Christianne L.</dc:creator>
  <cp:keywords/>
  <dc:description/>
  <cp:lastModifiedBy>Donna Reynolds</cp:lastModifiedBy>
  <cp:revision>3</cp:revision>
  <dcterms:created xsi:type="dcterms:W3CDTF">2020-03-11T19:40:00Z</dcterms:created>
  <dcterms:modified xsi:type="dcterms:W3CDTF">2020-06-03T21:42:00Z</dcterms:modified>
</cp:coreProperties>
</file>