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F24FF" w14:textId="77777777" w:rsidR="00015B4D" w:rsidRPr="00113693" w:rsidRDefault="00015B4D" w:rsidP="00686BFF">
      <w:pPr>
        <w:pStyle w:val="Heading2"/>
      </w:pPr>
      <w:r w:rsidRPr="00113693">
        <w:t>Supplementary material</w:t>
      </w:r>
    </w:p>
    <w:p w14:paraId="045B3BC8" w14:textId="77777777" w:rsidR="00015B4D" w:rsidRPr="00D058A7" w:rsidRDefault="00015B4D" w:rsidP="00015B4D">
      <w:pPr>
        <w:pStyle w:val="Heading3"/>
        <w:spacing w:line="360" w:lineRule="auto"/>
      </w:pPr>
      <w:r w:rsidRPr="00D058A7">
        <w:t>Supplementary Table 1. Dose titration schedule</w:t>
      </w:r>
    </w:p>
    <w:tbl>
      <w:tblPr>
        <w:tblStyle w:val="TableGrid"/>
        <w:tblW w:w="9016" w:type="dxa"/>
        <w:tblInd w:w="-113" w:type="dxa"/>
        <w:tblLook w:val="04A0" w:firstRow="1" w:lastRow="0" w:firstColumn="1" w:lastColumn="0" w:noHBand="0" w:noVBand="1"/>
      </w:tblPr>
      <w:tblGrid>
        <w:gridCol w:w="5075"/>
        <w:gridCol w:w="1559"/>
        <w:gridCol w:w="2382"/>
      </w:tblGrid>
      <w:tr w:rsidR="00015B4D" w:rsidRPr="00A0314F" w14:paraId="240FD00F" w14:textId="77777777" w:rsidTr="00FA60D4">
        <w:tc>
          <w:tcPr>
            <w:tcW w:w="5075" w:type="dxa"/>
            <w:tcBorders>
              <w:left w:val="nil"/>
              <w:right w:val="nil"/>
            </w:tcBorders>
          </w:tcPr>
          <w:p w14:paraId="3B1125C6" w14:textId="77777777" w:rsidR="00015B4D" w:rsidRPr="00A0314F" w:rsidRDefault="00015B4D" w:rsidP="002C201A">
            <w:pPr>
              <w:spacing w:line="360" w:lineRule="auto"/>
              <w:rPr>
                <w:sz w:val="20"/>
                <w:szCs w:val="22"/>
              </w:rPr>
            </w:pPr>
            <w:r w:rsidRPr="00A0314F">
              <w:rPr>
                <w:sz w:val="20"/>
                <w:szCs w:val="22"/>
              </w:rPr>
              <w:t xml:space="preserve">Median* fasting (pre-breakfast) </w:t>
            </w:r>
            <w:proofErr w:type="spellStart"/>
            <w:r w:rsidRPr="00A0314F">
              <w:rPr>
                <w:sz w:val="20"/>
                <w:szCs w:val="22"/>
              </w:rPr>
              <w:t>SMPG</w:t>
            </w:r>
            <w:proofErr w:type="spellEnd"/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1BE2E6A9" w14:textId="77777777" w:rsidR="00015B4D" w:rsidRPr="00A0314F" w:rsidRDefault="00015B4D" w:rsidP="002C201A">
            <w:pPr>
              <w:spacing w:line="360" w:lineRule="auto"/>
              <w:rPr>
                <w:sz w:val="20"/>
                <w:szCs w:val="22"/>
              </w:rPr>
            </w:pPr>
            <w:r w:rsidRPr="00A0314F">
              <w:rPr>
                <w:sz w:val="20"/>
                <w:szCs w:val="22"/>
              </w:rPr>
              <w:t>Current basal insulin dose</w:t>
            </w:r>
          </w:p>
        </w:tc>
        <w:tc>
          <w:tcPr>
            <w:tcW w:w="2382" w:type="dxa"/>
            <w:tcBorders>
              <w:left w:val="nil"/>
              <w:right w:val="nil"/>
            </w:tcBorders>
          </w:tcPr>
          <w:p w14:paraId="6AB7B10B" w14:textId="32A4E332" w:rsidR="00015B4D" w:rsidRPr="00A0314F" w:rsidRDefault="00015B4D" w:rsidP="002C201A">
            <w:pPr>
              <w:spacing w:line="360" w:lineRule="auto"/>
              <w:rPr>
                <w:sz w:val="20"/>
                <w:szCs w:val="22"/>
              </w:rPr>
            </w:pPr>
            <w:r w:rsidRPr="00A0314F">
              <w:rPr>
                <w:sz w:val="20"/>
                <w:szCs w:val="22"/>
              </w:rPr>
              <w:t>Dose adjustment of Gla-300 or Gla-100</w:t>
            </w:r>
          </w:p>
        </w:tc>
      </w:tr>
      <w:tr w:rsidR="00015B4D" w:rsidRPr="00A0314F" w14:paraId="4511C1C3" w14:textId="77777777" w:rsidTr="00FA60D4">
        <w:tc>
          <w:tcPr>
            <w:tcW w:w="5075" w:type="dxa"/>
            <w:tcBorders>
              <w:left w:val="nil"/>
              <w:bottom w:val="nil"/>
              <w:right w:val="nil"/>
            </w:tcBorders>
          </w:tcPr>
          <w:p w14:paraId="57F42832" w14:textId="40018F52" w:rsidR="00015B4D" w:rsidRPr="00A0314F" w:rsidRDefault="00015B4D" w:rsidP="00336BB5">
            <w:pPr>
              <w:spacing w:line="360" w:lineRule="auto"/>
              <w:rPr>
                <w:sz w:val="20"/>
                <w:szCs w:val="22"/>
              </w:rPr>
            </w:pPr>
            <w:r w:rsidRPr="00A0314F">
              <w:rPr>
                <w:sz w:val="20"/>
                <w:szCs w:val="22"/>
              </w:rPr>
              <w:t>Above target range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130AFC1A" w14:textId="66393F98" w:rsidR="00015B4D" w:rsidRPr="00A0314F" w:rsidRDefault="00015B4D" w:rsidP="00336BB5">
            <w:pPr>
              <w:spacing w:line="360" w:lineRule="auto"/>
              <w:rPr>
                <w:sz w:val="20"/>
                <w:szCs w:val="22"/>
              </w:rPr>
            </w:pPr>
          </w:p>
        </w:tc>
        <w:tc>
          <w:tcPr>
            <w:tcW w:w="2382" w:type="dxa"/>
            <w:tcBorders>
              <w:left w:val="nil"/>
              <w:bottom w:val="nil"/>
              <w:right w:val="nil"/>
            </w:tcBorders>
          </w:tcPr>
          <w:p w14:paraId="28CFC052" w14:textId="64233FC7" w:rsidR="00015B4D" w:rsidRPr="00A0314F" w:rsidRDefault="00015B4D" w:rsidP="002C201A">
            <w:pPr>
              <w:spacing w:line="360" w:lineRule="auto"/>
              <w:rPr>
                <w:sz w:val="20"/>
                <w:szCs w:val="22"/>
              </w:rPr>
            </w:pPr>
          </w:p>
        </w:tc>
      </w:tr>
      <w:tr w:rsidR="00336BB5" w:rsidRPr="00A0314F" w14:paraId="4932DD82" w14:textId="77777777" w:rsidTr="00FA60D4"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14:paraId="066C5985" w14:textId="4663317C" w:rsidR="00336BB5" w:rsidRPr="00A0314F" w:rsidRDefault="00336BB5" w:rsidP="00336BB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2"/>
              </w:rPr>
            </w:pPr>
            <w:r w:rsidRPr="00A0314F">
              <w:rPr>
                <w:sz w:val="20"/>
                <w:szCs w:val="22"/>
              </w:rPr>
              <w:t>&gt;180 mg/dL (&gt;10.0 mmol/L)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5B2EE67" w14:textId="6DB33029" w:rsidR="00336BB5" w:rsidRPr="00A0314F" w:rsidRDefault="00336BB5" w:rsidP="002C201A">
            <w:pPr>
              <w:spacing w:line="360" w:lineRule="auto"/>
              <w:rPr>
                <w:sz w:val="20"/>
                <w:szCs w:val="22"/>
              </w:rPr>
            </w:pPr>
            <w:r w:rsidRPr="00A0314F">
              <w:rPr>
                <w:sz w:val="20"/>
                <w:szCs w:val="22"/>
              </w:rPr>
              <w:t>&lt;15 U/day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3C70A9E7" w14:textId="3ED081F8" w:rsidR="00336BB5" w:rsidRPr="00A0314F" w:rsidRDefault="00336BB5" w:rsidP="002C201A">
            <w:pPr>
              <w:spacing w:line="360" w:lineRule="auto"/>
              <w:rPr>
                <w:sz w:val="20"/>
                <w:szCs w:val="22"/>
              </w:rPr>
            </w:pPr>
            <w:r w:rsidRPr="00A0314F">
              <w:rPr>
                <w:sz w:val="20"/>
                <w:szCs w:val="22"/>
              </w:rPr>
              <w:t>+2 U</w:t>
            </w:r>
          </w:p>
        </w:tc>
      </w:tr>
      <w:tr w:rsidR="00336BB5" w:rsidRPr="00A0314F" w14:paraId="52EF541C" w14:textId="77777777" w:rsidTr="00FA60D4"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14:paraId="0F4AE852" w14:textId="77777777" w:rsidR="00336BB5" w:rsidRPr="00A0314F" w:rsidRDefault="00336BB5" w:rsidP="00336BB5">
            <w:pPr>
              <w:spacing w:line="360" w:lineRule="auto"/>
              <w:rPr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47BF4CE8" w14:textId="75712370" w:rsidR="00336BB5" w:rsidRPr="00A0314F" w:rsidRDefault="00336BB5" w:rsidP="002C201A">
            <w:pPr>
              <w:spacing w:line="360" w:lineRule="auto"/>
              <w:rPr>
                <w:sz w:val="20"/>
                <w:szCs w:val="22"/>
              </w:rPr>
            </w:pPr>
            <w:r w:rsidRPr="00A0314F">
              <w:rPr>
                <w:sz w:val="20"/>
                <w:szCs w:val="22"/>
              </w:rPr>
              <w:t>≥15 U/day</w:t>
            </w:r>
          </w:p>
        </w:tc>
        <w:tc>
          <w:tcPr>
            <w:tcW w:w="2382" w:type="dxa"/>
            <w:tcBorders>
              <w:top w:val="nil"/>
              <w:left w:val="nil"/>
              <w:right w:val="nil"/>
            </w:tcBorders>
          </w:tcPr>
          <w:p w14:paraId="10F64630" w14:textId="3752A7B6" w:rsidR="00336BB5" w:rsidRPr="00A0314F" w:rsidRDefault="00336BB5" w:rsidP="002C201A">
            <w:pPr>
              <w:spacing w:line="360" w:lineRule="auto"/>
              <w:rPr>
                <w:sz w:val="20"/>
                <w:szCs w:val="22"/>
              </w:rPr>
            </w:pPr>
            <w:r w:rsidRPr="00A0314F">
              <w:rPr>
                <w:sz w:val="20"/>
                <w:szCs w:val="22"/>
              </w:rPr>
              <w:t>+4 U</w:t>
            </w:r>
          </w:p>
        </w:tc>
      </w:tr>
      <w:tr w:rsidR="00015B4D" w:rsidRPr="00A0314F" w14:paraId="5F28A95A" w14:textId="77777777" w:rsidTr="00FA60D4">
        <w:tc>
          <w:tcPr>
            <w:tcW w:w="5075" w:type="dxa"/>
            <w:tcBorders>
              <w:top w:val="nil"/>
              <w:left w:val="nil"/>
              <w:right w:val="nil"/>
            </w:tcBorders>
          </w:tcPr>
          <w:p w14:paraId="5543239D" w14:textId="6FAD924C" w:rsidR="00015B4D" w:rsidRPr="00A0314F" w:rsidRDefault="00015B4D" w:rsidP="002C201A">
            <w:pPr>
              <w:spacing w:line="360" w:lineRule="auto"/>
              <w:rPr>
                <w:sz w:val="20"/>
                <w:szCs w:val="22"/>
              </w:rPr>
            </w:pPr>
            <w:r w:rsidRPr="00A0314F">
              <w:rPr>
                <w:sz w:val="20"/>
                <w:szCs w:val="22"/>
              </w:rPr>
              <w:t>No evidence of severe hypoglycemia</w:t>
            </w:r>
            <w:r w:rsidR="00575C46">
              <w:rPr>
                <w:sz w:val="20"/>
                <w:szCs w:val="22"/>
                <w:vertAlign w:val="superscript"/>
              </w:rPr>
              <w:t>†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0BBA2CB5" w14:textId="77777777" w:rsidR="00015B4D" w:rsidRPr="00A0314F" w:rsidRDefault="00015B4D" w:rsidP="002C201A">
            <w:pPr>
              <w:spacing w:line="360" w:lineRule="auto"/>
              <w:rPr>
                <w:sz w:val="20"/>
                <w:szCs w:val="22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 w14:paraId="0051DA19" w14:textId="77777777" w:rsidR="00015B4D" w:rsidRPr="00A0314F" w:rsidRDefault="00015B4D" w:rsidP="002C201A">
            <w:pPr>
              <w:spacing w:line="360" w:lineRule="auto"/>
              <w:rPr>
                <w:sz w:val="20"/>
                <w:szCs w:val="22"/>
              </w:rPr>
            </w:pPr>
          </w:p>
        </w:tc>
      </w:tr>
      <w:tr w:rsidR="00015B4D" w:rsidRPr="00A0314F" w14:paraId="5DC5663C" w14:textId="77777777" w:rsidTr="00FA60D4">
        <w:tc>
          <w:tcPr>
            <w:tcW w:w="5075" w:type="dxa"/>
            <w:tcBorders>
              <w:left w:val="nil"/>
              <w:bottom w:val="nil"/>
              <w:right w:val="nil"/>
            </w:tcBorders>
          </w:tcPr>
          <w:p w14:paraId="3186DB8B" w14:textId="66FF5607" w:rsidR="00015B4D" w:rsidRPr="00A0314F" w:rsidRDefault="00015B4D" w:rsidP="00336BB5">
            <w:pPr>
              <w:spacing w:line="360" w:lineRule="auto"/>
              <w:rPr>
                <w:sz w:val="20"/>
                <w:szCs w:val="22"/>
              </w:rPr>
            </w:pPr>
            <w:r w:rsidRPr="00A0314F">
              <w:rPr>
                <w:sz w:val="20"/>
                <w:szCs w:val="22"/>
              </w:rPr>
              <w:t>Above target range</w:t>
            </w:r>
            <w:r w:rsidRPr="00A0314F">
              <w:rPr>
                <w:sz w:val="20"/>
                <w:szCs w:val="22"/>
              </w:rPr>
              <w:br/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09D43257" w14:textId="3E41F814" w:rsidR="00015B4D" w:rsidRPr="00A0314F" w:rsidRDefault="00015B4D" w:rsidP="002C201A">
            <w:pPr>
              <w:spacing w:line="360" w:lineRule="auto"/>
              <w:rPr>
                <w:color w:val="FF0000"/>
                <w:sz w:val="20"/>
                <w:szCs w:val="22"/>
              </w:rPr>
            </w:pPr>
          </w:p>
        </w:tc>
        <w:tc>
          <w:tcPr>
            <w:tcW w:w="2382" w:type="dxa"/>
            <w:tcBorders>
              <w:left w:val="nil"/>
              <w:bottom w:val="nil"/>
              <w:right w:val="nil"/>
            </w:tcBorders>
          </w:tcPr>
          <w:p w14:paraId="7EF37B12" w14:textId="0F88B89F" w:rsidR="00015B4D" w:rsidRPr="00A0314F" w:rsidRDefault="00015B4D" w:rsidP="002C201A">
            <w:pPr>
              <w:spacing w:line="360" w:lineRule="auto"/>
              <w:rPr>
                <w:sz w:val="20"/>
                <w:szCs w:val="22"/>
              </w:rPr>
            </w:pPr>
          </w:p>
        </w:tc>
      </w:tr>
      <w:tr w:rsidR="00336BB5" w:rsidRPr="00A0314F" w14:paraId="6DC93FD9" w14:textId="77777777" w:rsidTr="00FA60D4"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14:paraId="1EB769BE" w14:textId="6661165C" w:rsidR="00336BB5" w:rsidRPr="00A0314F" w:rsidRDefault="00336BB5" w:rsidP="00336BB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2"/>
              </w:rPr>
            </w:pPr>
            <w:r w:rsidRPr="00A0314F">
              <w:rPr>
                <w:sz w:val="20"/>
                <w:szCs w:val="22"/>
              </w:rPr>
              <w:t>&gt;130–180 mg/dL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D6060EE" w14:textId="5B12EBE4" w:rsidR="00336BB5" w:rsidRPr="00A0314F" w:rsidRDefault="00336BB5" w:rsidP="002C201A">
            <w:pPr>
              <w:spacing w:line="360" w:lineRule="auto"/>
              <w:rPr>
                <w:sz w:val="20"/>
                <w:szCs w:val="22"/>
              </w:rPr>
            </w:pPr>
            <w:r w:rsidRPr="00A0314F">
              <w:rPr>
                <w:sz w:val="20"/>
                <w:szCs w:val="22"/>
              </w:rPr>
              <w:t>&lt;15 U/da</w:t>
            </w:r>
            <w:r w:rsidR="002C0092" w:rsidRPr="00A0314F">
              <w:rPr>
                <w:sz w:val="20"/>
                <w:szCs w:val="22"/>
              </w:rPr>
              <w:t>y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75739287" w14:textId="0B1F769E" w:rsidR="00336BB5" w:rsidRPr="00A0314F" w:rsidRDefault="00336BB5" w:rsidP="002C201A">
            <w:pPr>
              <w:spacing w:line="360" w:lineRule="auto"/>
              <w:rPr>
                <w:sz w:val="20"/>
                <w:szCs w:val="22"/>
              </w:rPr>
            </w:pPr>
            <w:r w:rsidRPr="00A0314F">
              <w:rPr>
                <w:sz w:val="20"/>
                <w:szCs w:val="22"/>
              </w:rPr>
              <w:t>+1 U</w:t>
            </w:r>
          </w:p>
        </w:tc>
      </w:tr>
      <w:tr w:rsidR="00336BB5" w:rsidRPr="00A0314F" w14:paraId="13D4B7FC" w14:textId="77777777" w:rsidTr="00FA60D4"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14:paraId="003857AA" w14:textId="2C689DAA" w:rsidR="00336BB5" w:rsidRPr="00A0314F" w:rsidRDefault="00336BB5" w:rsidP="00336BB5">
            <w:pPr>
              <w:spacing w:line="360" w:lineRule="auto"/>
              <w:ind w:firstLine="709"/>
              <w:rPr>
                <w:sz w:val="20"/>
                <w:szCs w:val="22"/>
              </w:rPr>
            </w:pPr>
            <w:r w:rsidRPr="00A0314F">
              <w:rPr>
                <w:sz w:val="20"/>
                <w:szCs w:val="22"/>
              </w:rPr>
              <w:t>(&gt;7.2–10.0 mmol/L)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0C87C1A5" w14:textId="03D6DA8E" w:rsidR="00336BB5" w:rsidRPr="00A0314F" w:rsidRDefault="00336BB5" w:rsidP="002C201A">
            <w:pPr>
              <w:spacing w:line="360" w:lineRule="auto"/>
              <w:rPr>
                <w:sz w:val="20"/>
                <w:szCs w:val="22"/>
              </w:rPr>
            </w:pPr>
            <w:r w:rsidRPr="00A0314F">
              <w:rPr>
                <w:sz w:val="20"/>
                <w:szCs w:val="22"/>
              </w:rPr>
              <w:t>≥15 U/day</w:t>
            </w:r>
          </w:p>
        </w:tc>
        <w:tc>
          <w:tcPr>
            <w:tcW w:w="2382" w:type="dxa"/>
            <w:tcBorders>
              <w:top w:val="nil"/>
              <w:left w:val="nil"/>
              <w:right w:val="nil"/>
            </w:tcBorders>
          </w:tcPr>
          <w:p w14:paraId="4F1C82DA" w14:textId="2B93C8AD" w:rsidR="00336BB5" w:rsidRPr="00A0314F" w:rsidRDefault="00336BB5" w:rsidP="002C201A">
            <w:pPr>
              <w:spacing w:line="360" w:lineRule="auto"/>
              <w:rPr>
                <w:sz w:val="20"/>
                <w:szCs w:val="22"/>
              </w:rPr>
            </w:pPr>
            <w:r w:rsidRPr="00A0314F">
              <w:rPr>
                <w:sz w:val="20"/>
                <w:szCs w:val="22"/>
              </w:rPr>
              <w:t>+2 U</w:t>
            </w:r>
          </w:p>
        </w:tc>
      </w:tr>
      <w:tr w:rsidR="00015B4D" w:rsidRPr="00A0314F" w14:paraId="109116E7" w14:textId="77777777" w:rsidTr="00FA60D4">
        <w:tc>
          <w:tcPr>
            <w:tcW w:w="5075" w:type="dxa"/>
            <w:tcBorders>
              <w:top w:val="nil"/>
              <w:left w:val="nil"/>
              <w:right w:val="nil"/>
            </w:tcBorders>
          </w:tcPr>
          <w:p w14:paraId="78F00002" w14:textId="2809F9CA" w:rsidR="00015B4D" w:rsidRPr="00A0314F" w:rsidRDefault="00015B4D" w:rsidP="002C201A">
            <w:pPr>
              <w:spacing w:line="360" w:lineRule="auto"/>
              <w:rPr>
                <w:sz w:val="20"/>
                <w:szCs w:val="22"/>
              </w:rPr>
            </w:pPr>
            <w:r w:rsidRPr="00A0314F">
              <w:rPr>
                <w:sz w:val="20"/>
                <w:szCs w:val="22"/>
              </w:rPr>
              <w:t>No evidence of severe hypoglycemia</w:t>
            </w:r>
            <w:r w:rsidR="00575C46">
              <w:rPr>
                <w:sz w:val="20"/>
                <w:szCs w:val="22"/>
                <w:vertAlign w:val="superscript"/>
              </w:rPr>
              <w:t>†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2A3D425E" w14:textId="77777777" w:rsidR="00015B4D" w:rsidRPr="00A0314F" w:rsidRDefault="00015B4D" w:rsidP="002C201A">
            <w:pPr>
              <w:spacing w:line="360" w:lineRule="auto"/>
              <w:rPr>
                <w:sz w:val="20"/>
                <w:szCs w:val="22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 w14:paraId="0B27CA85" w14:textId="77777777" w:rsidR="00015B4D" w:rsidRPr="00A0314F" w:rsidRDefault="00015B4D" w:rsidP="002C201A">
            <w:pPr>
              <w:spacing w:line="360" w:lineRule="auto"/>
              <w:rPr>
                <w:sz w:val="20"/>
                <w:szCs w:val="22"/>
              </w:rPr>
            </w:pPr>
          </w:p>
        </w:tc>
      </w:tr>
      <w:tr w:rsidR="00015B4D" w:rsidRPr="00A0314F" w14:paraId="61B53CC8" w14:textId="77777777" w:rsidTr="00FA60D4">
        <w:tc>
          <w:tcPr>
            <w:tcW w:w="5075" w:type="dxa"/>
            <w:tcBorders>
              <w:left w:val="nil"/>
              <w:bottom w:val="nil"/>
              <w:right w:val="nil"/>
            </w:tcBorders>
          </w:tcPr>
          <w:p w14:paraId="614DCA45" w14:textId="2F3E55E1" w:rsidR="00015B4D" w:rsidRPr="00A0314F" w:rsidRDefault="00015B4D" w:rsidP="00336BB5">
            <w:pPr>
              <w:spacing w:line="360" w:lineRule="auto"/>
              <w:rPr>
                <w:sz w:val="20"/>
                <w:szCs w:val="22"/>
              </w:rPr>
            </w:pPr>
            <w:r w:rsidRPr="00A0314F">
              <w:rPr>
                <w:sz w:val="20"/>
                <w:szCs w:val="22"/>
              </w:rPr>
              <w:t>In target range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6F3C3114" w14:textId="065B3F9A" w:rsidR="00015B4D" w:rsidRPr="00A0314F" w:rsidRDefault="00015B4D" w:rsidP="002C201A">
            <w:pPr>
              <w:spacing w:line="360" w:lineRule="auto"/>
              <w:rPr>
                <w:sz w:val="20"/>
                <w:szCs w:val="22"/>
              </w:rPr>
            </w:pPr>
          </w:p>
        </w:tc>
        <w:tc>
          <w:tcPr>
            <w:tcW w:w="2382" w:type="dxa"/>
            <w:tcBorders>
              <w:left w:val="nil"/>
              <w:bottom w:val="nil"/>
              <w:right w:val="nil"/>
            </w:tcBorders>
          </w:tcPr>
          <w:p w14:paraId="231E6FD6" w14:textId="6ECE3F07" w:rsidR="00015B4D" w:rsidRPr="00A0314F" w:rsidRDefault="00015B4D" w:rsidP="002C201A">
            <w:pPr>
              <w:spacing w:line="360" w:lineRule="auto"/>
              <w:rPr>
                <w:sz w:val="20"/>
                <w:szCs w:val="22"/>
              </w:rPr>
            </w:pPr>
          </w:p>
        </w:tc>
      </w:tr>
      <w:tr w:rsidR="00336BB5" w:rsidRPr="00A0314F" w14:paraId="3EC7FA4F" w14:textId="77777777" w:rsidTr="00FA60D4"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14:paraId="266915A1" w14:textId="427E5044" w:rsidR="00336BB5" w:rsidRPr="00A0314F" w:rsidRDefault="00336BB5" w:rsidP="002C201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2"/>
              </w:rPr>
            </w:pPr>
            <w:r w:rsidRPr="00A0314F">
              <w:rPr>
                <w:sz w:val="20"/>
                <w:szCs w:val="22"/>
              </w:rPr>
              <w:t>90–130 mg/dL (5.0–7.2 mmol/L)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86F775D" w14:textId="75A39A3C" w:rsidR="00336BB5" w:rsidRPr="00A0314F" w:rsidRDefault="00336BB5" w:rsidP="002C201A">
            <w:pPr>
              <w:spacing w:line="360" w:lineRule="auto"/>
              <w:rPr>
                <w:sz w:val="20"/>
                <w:szCs w:val="22"/>
              </w:rPr>
            </w:pPr>
            <w:r w:rsidRPr="00A0314F">
              <w:rPr>
                <w:sz w:val="20"/>
                <w:szCs w:val="22"/>
              </w:rPr>
              <w:t>n/a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5742F543" w14:textId="7954D392" w:rsidR="00336BB5" w:rsidRPr="00A0314F" w:rsidRDefault="00336BB5" w:rsidP="002C201A">
            <w:pPr>
              <w:spacing w:line="360" w:lineRule="auto"/>
              <w:rPr>
                <w:sz w:val="20"/>
                <w:szCs w:val="22"/>
              </w:rPr>
            </w:pPr>
            <w:r w:rsidRPr="00A0314F">
              <w:rPr>
                <w:sz w:val="20"/>
                <w:szCs w:val="22"/>
              </w:rPr>
              <w:t>No change of BI dose</w:t>
            </w:r>
          </w:p>
        </w:tc>
      </w:tr>
      <w:tr w:rsidR="00336BB5" w:rsidRPr="00A0314F" w14:paraId="5453A892" w14:textId="77777777" w:rsidTr="00FA60D4">
        <w:tc>
          <w:tcPr>
            <w:tcW w:w="5075" w:type="dxa"/>
            <w:tcBorders>
              <w:top w:val="nil"/>
              <w:left w:val="nil"/>
              <w:right w:val="nil"/>
            </w:tcBorders>
          </w:tcPr>
          <w:p w14:paraId="28A92950" w14:textId="7E7C397D" w:rsidR="00336BB5" w:rsidRPr="00A0314F" w:rsidRDefault="00336BB5" w:rsidP="002C201A">
            <w:pPr>
              <w:spacing w:line="360" w:lineRule="auto"/>
              <w:rPr>
                <w:sz w:val="20"/>
                <w:szCs w:val="22"/>
              </w:rPr>
            </w:pPr>
            <w:r w:rsidRPr="00A0314F">
              <w:rPr>
                <w:sz w:val="20"/>
                <w:szCs w:val="22"/>
              </w:rPr>
              <w:t>No evidence of severe hypoglycemia</w:t>
            </w:r>
            <w:r w:rsidR="00E810EE">
              <w:rPr>
                <w:sz w:val="20"/>
                <w:szCs w:val="22"/>
                <w:vertAlign w:val="superscript"/>
              </w:rPr>
              <w:t>†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7CA29C34" w14:textId="77777777" w:rsidR="00336BB5" w:rsidRPr="00A0314F" w:rsidRDefault="00336BB5" w:rsidP="002C201A">
            <w:pPr>
              <w:spacing w:line="360" w:lineRule="auto"/>
              <w:rPr>
                <w:sz w:val="20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nil"/>
              <w:right w:val="nil"/>
            </w:tcBorders>
          </w:tcPr>
          <w:p w14:paraId="054F754C" w14:textId="77777777" w:rsidR="00336BB5" w:rsidRPr="00A0314F" w:rsidRDefault="00336BB5" w:rsidP="002C201A">
            <w:pPr>
              <w:spacing w:line="360" w:lineRule="auto"/>
              <w:rPr>
                <w:sz w:val="20"/>
                <w:szCs w:val="22"/>
              </w:rPr>
            </w:pPr>
          </w:p>
        </w:tc>
      </w:tr>
      <w:tr w:rsidR="00015B4D" w:rsidRPr="00A0314F" w14:paraId="1C6F9E5B" w14:textId="77777777" w:rsidTr="00FA60D4">
        <w:tc>
          <w:tcPr>
            <w:tcW w:w="5075" w:type="dxa"/>
            <w:tcBorders>
              <w:left w:val="nil"/>
              <w:bottom w:val="nil"/>
              <w:right w:val="nil"/>
            </w:tcBorders>
          </w:tcPr>
          <w:p w14:paraId="1FE7C37D" w14:textId="719558F1" w:rsidR="00015B4D" w:rsidRPr="00A0314F" w:rsidRDefault="00015B4D" w:rsidP="00336BB5">
            <w:pPr>
              <w:spacing w:line="360" w:lineRule="auto"/>
              <w:rPr>
                <w:sz w:val="20"/>
                <w:szCs w:val="22"/>
              </w:rPr>
            </w:pPr>
            <w:r w:rsidRPr="00A0314F">
              <w:rPr>
                <w:sz w:val="20"/>
                <w:szCs w:val="22"/>
              </w:rPr>
              <w:t>Below target range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02854758" w14:textId="2453F557" w:rsidR="00015B4D" w:rsidRPr="00A0314F" w:rsidRDefault="00015B4D" w:rsidP="002C201A">
            <w:pPr>
              <w:spacing w:line="360" w:lineRule="auto"/>
              <w:rPr>
                <w:sz w:val="20"/>
                <w:szCs w:val="22"/>
              </w:rPr>
            </w:pPr>
          </w:p>
        </w:tc>
        <w:tc>
          <w:tcPr>
            <w:tcW w:w="2382" w:type="dxa"/>
            <w:tcBorders>
              <w:left w:val="nil"/>
              <w:bottom w:val="nil"/>
              <w:right w:val="nil"/>
            </w:tcBorders>
          </w:tcPr>
          <w:p w14:paraId="143A522F" w14:textId="18DA8C56" w:rsidR="00015B4D" w:rsidRPr="00A0314F" w:rsidRDefault="00015B4D" w:rsidP="002C201A">
            <w:pPr>
              <w:spacing w:line="360" w:lineRule="auto"/>
              <w:rPr>
                <w:sz w:val="20"/>
                <w:szCs w:val="22"/>
              </w:rPr>
            </w:pPr>
          </w:p>
        </w:tc>
      </w:tr>
      <w:tr w:rsidR="00336BB5" w:rsidRPr="00A0314F" w14:paraId="2844D6CA" w14:textId="77777777" w:rsidTr="00FA60D4"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14:paraId="416B6599" w14:textId="53AD9FDC" w:rsidR="00336BB5" w:rsidRPr="00A0314F" w:rsidRDefault="00336BB5" w:rsidP="00336BB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2"/>
              </w:rPr>
            </w:pPr>
            <w:r w:rsidRPr="00A0314F">
              <w:rPr>
                <w:sz w:val="20"/>
                <w:szCs w:val="22"/>
              </w:rPr>
              <w:t>&lt;90 mg/dL (&lt;5.0 mmol/L)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02586BB" w14:textId="24751895" w:rsidR="00336BB5" w:rsidRPr="00A0314F" w:rsidRDefault="00336BB5" w:rsidP="002C201A">
            <w:pPr>
              <w:spacing w:line="360" w:lineRule="auto"/>
              <w:rPr>
                <w:sz w:val="20"/>
                <w:szCs w:val="22"/>
              </w:rPr>
            </w:pPr>
            <w:r w:rsidRPr="00A0314F">
              <w:rPr>
                <w:sz w:val="20"/>
                <w:szCs w:val="22"/>
              </w:rPr>
              <w:t>&lt;15 U/day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4AAEA034" w14:textId="56AA27E0" w:rsidR="00336BB5" w:rsidRPr="00A0314F" w:rsidRDefault="00336BB5" w:rsidP="002C201A">
            <w:pPr>
              <w:spacing w:line="360" w:lineRule="auto"/>
              <w:rPr>
                <w:sz w:val="20"/>
                <w:szCs w:val="22"/>
              </w:rPr>
            </w:pPr>
            <w:r w:rsidRPr="00A0314F">
              <w:rPr>
                <w:sz w:val="20"/>
                <w:szCs w:val="22"/>
              </w:rPr>
              <w:t>−1 U</w:t>
            </w:r>
          </w:p>
        </w:tc>
      </w:tr>
      <w:tr w:rsidR="00336BB5" w:rsidRPr="00A0314F" w14:paraId="6B19CF27" w14:textId="77777777" w:rsidTr="00FA60D4">
        <w:tc>
          <w:tcPr>
            <w:tcW w:w="5075" w:type="dxa"/>
            <w:tcBorders>
              <w:top w:val="nil"/>
              <w:left w:val="nil"/>
              <w:right w:val="nil"/>
            </w:tcBorders>
          </w:tcPr>
          <w:p w14:paraId="65F0A81C" w14:textId="77777777" w:rsidR="00336BB5" w:rsidRPr="00A0314F" w:rsidRDefault="00336BB5" w:rsidP="002C201A">
            <w:pPr>
              <w:spacing w:line="360" w:lineRule="auto"/>
              <w:rPr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5C6E1A3B" w14:textId="43F7DC81" w:rsidR="00336BB5" w:rsidRPr="00A0314F" w:rsidRDefault="00336BB5" w:rsidP="002C201A">
            <w:pPr>
              <w:spacing w:line="360" w:lineRule="auto"/>
              <w:rPr>
                <w:sz w:val="20"/>
                <w:szCs w:val="22"/>
              </w:rPr>
            </w:pPr>
            <w:r w:rsidRPr="00A0314F">
              <w:rPr>
                <w:sz w:val="20"/>
                <w:szCs w:val="22"/>
              </w:rPr>
              <w:t>≥15 U/day</w:t>
            </w:r>
          </w:p>
        </w:tc>
        <w:tc>
          <w:tcPr>
            <w:tcW w:w="2382" w:type="dxa"/>
            <w:tcBorders>
              <w:top w:val="nil"/>
              <w:left w:val="nil"/>
              <w:right w:val="nil"/>
            </w:tcBorders>
          </w:tcPr>
          <w:p w14:paraId="06F11E08" w14:textId="134680A8" w:rsidR="00336BB5" w:rsidRPr="00A0314F" w:rsidRDefault="00336BB5" w:rsidP="002C201A">
            <w:pPr>
              <w:spacing w:line="360" w:lineRule="auto"/>
              <w:rPr>
                <w:sz w:val="20"/>
                <w:szCs w:val="22"/>
              </w:rPr>
            </w:pPr>
            <w:r w:rsidRPr="00A0314F">
              <w:rPr>
                <w:sz w:val="20"/>
                <w:szCs w:val="22"/>
              </w:rPr>
              <w:t>−2 U</w:t>
            </w:r>
          </w:p>
        </w:tc>
      </w:tr>
      <w:tr w:rsidR="00015B4D" w:rsidRPr="00A0314F" w14:paraId="66BBD06F" w14:textId="77777777" w:rsidTr="00FA60D4">
        <w:trPr>
          <w:trHeight w:val="181"/>
        </w:trPr>
        <w:tc>
          <w:tcPr>
            <w:tcW w:w="5075" w:type="dxa"/>
            <w:tcBorders>
              <w:left w:val="nil"/>
              <w:bottom w:val="nil"/>
              <w:right w:val="nil"/>
            </w:tcBorders>
          </w:tcPr>
          <w:p w14:paraId="03B68559" w14:textId="64DBBCA1" w:rsidR="00015B4D" w:rsidRPr="00A0314F" w:rsidRDefault="00015B4D" w:rsidP="00336BB5">
            <w:pPr>
              <w:spacing w:line="360" w:lineRule="auto"/>
              <w:rPr>
                <w:sz w:val="20"/>
                <w:szCs w:val="22"/>
              </w:rPr>
            </w:pPr>
            <w:r w:rsidRPr="00A0314F">
              <w:rPr>
                <w:sz w:val="20"/>
                <w:szCs w:val="22"/>
              </w:rPr>
              <w:t>In case of hypoglycemia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2FB38AAB" w14:textId="1FDB803F" w:rsidR="00015B4D" w:rsidRPr="00A0314F" w:rsidRDefault="00015B4D" w:rsidP="002C201A">
            <w:pPr>
              <w:spacing w:line="360" w:lineRule="auto"/>
              <w:rPr>
                <w:sz w:val="20"/>
                <w:szCs w:val="22"/>
              </w:rPr>
            </w:pPr>
          </w:p>
        </w:tc>
        <w:tc>
          <w:tcPr>
            <w:tcW w:w="2382" w:type="dxa"/>
            <w:tcBorders>
              <w:left w:val="nil"/>
              <w:bottom w:val="nil"/>
              <w:right w:val="nil"/>
            </w:tcBorders>
          </w:tcPr>
          <w:p w14:paraId="07ABD94B" w14:textId="474694CE" w:rsidR="00015B4D" w:rsidRPr="00A0314F" w:rsidRDefault="009C5493" w:rsidP="002C201A">
            <w:pPr>
              <w:spacing w:line="360" w:lineRule="auto"/>
              <w:rPr>
                <w:sz w:val="20"/>
                <w:szCs w:val="22"/>
              </w:rPr>
            </w:pPr>
            <w:r w:rsidRPr="00A0314F">
              <w:rPr>
                <w:sz w:val="20"/>
                <w:szCs w:val="22"/>
              </w:rPr>
              <w:t>Doses may be reduced at any time</w:t>
            </w:r>
          </w:p>
        </w:tc>
      </w:tr>
      <w:tr w:rsidR="00336BB5" w:rsidRPr="00A0314F" w14:paraId="6C1931D6" w14:textId="77777777" w:rsidTr="00FA60D4">
        <w:trPr>
          <w:trHeight w:val="408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14:paraId="5E709E30" w14:textId="0ACE0FE7" w:rsidR="00336BB5" w:rsidRPr="00A0314F" w:rsidRDefault="00336BB5" w:rsidP="002C201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2"/>
              </w:rPr>
            </w:pPr>
            <w:r w:rsidRPr="00A0314F">
              <w:rPr>
                <w:sz w:val="20"/>
                <w:szCs w:val="22"/>
              </w:rPr>
              <w:t xml:space="preserve">Hypoglycemia is reported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1718D3A" w14:textId="1EAB63B3" w:rsidR="00336BB5" w:rsidRPr="00A0314F" w:rsidRDefault="00336BB5" w:rsidP="002C201A">
            <w:pPr>
              <w:spacing w:line="360" w:lineRule="auto"/>
              <w:rPr>
                <w:sz w:val="20"/>
                <w:szCs w:val="22"/>
              </w:rPr>
            </w:pPr>
            <w:r w:rsidRPr="00A0314F">
              <w:rPr>
                <w:sz w:val="20"/>
                <w:szCs w:val="22"/>
              </w:rPr>
              <w:t>&lt;15 U/day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1C43B23B" w14:textId="24E076F6" w:rsidR="00336BB5" w:rsidRPr="00A0314F" w:rsidRDefault="00336BB5" w:rsidP="002C201A">
            <w:pPr>
              <w:spacing w:line="360" w:lineRule="auto"/>
              <w:rPr>
                <w:sz w:val="20"/>
                <w:szCs w:val="22"/>
              </w:rPr>
            </w:pPr>
            <w:r w:rsidRPr="00A0314F">
              <w:rPr>
                <w:sz w:val="20"/>
                <w:szCs w:val="22"/>
              </w:rPr>
              <w:t>−1 U</w:t>
            </w:r>
          </w:p>
        </w:tc>
      </w:tr>
      <w:tr w:rsidR="00336BB5" w:rsidRPr="00A0314F" w14:paraId="0F6369F2" w14:textId="77777777" w:rsidTr="00FA60D4">
        <w:trPr>
          <w:trHeight w:val="408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14:paraId="3F5BA89D" w14:textId="1411FB43" w:rsidR="00336BB5" w:rsidRPr="00A0314F" w:rsidRDefault="00336BB5" w:rsidP="00336BB5">
            <w:pPr>
              <w:spacing w:line="360" w:lineRule="auto"/>
              <w:rPr>
                <w:sz w:val="20"/>
                <w:szCs w:val="22"/>
              </w:rPr>
            </w:pPr>
            <w:r w:rsidRPr="00A0314F">
              <w:rPr>
                <w:sz w:val="20"/>
                <w:szCs w:val="22"/>
              </w:rPr>
              <w:t>Without explanation, e.g. unexpected exercise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A6075C3" w14:textId="42D3B885" w:rsidR="00336BB5" w:rsidRPr="00A0314F" w:rsidRDefault="00336BB5" w:rsidP="002C201A">
            <w:pPr>
              <w:spacing w:line="360" w:lineRule="auto"/>
              <w:rPr>
                <w:sz w:val="20"/>
                <w:szCs w:val="22"/>
              </w:rPr>
            </w:pPr>
            <w:r w:rsidRPr="00A0314F">
              <w:rPr>
                <w:sz w:val="20"/>
                <w:szCs w:val="22"/>
              </w:rPr>
              <w:t>≥15 U/day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219294CE" w14:textId="7FF06163" w:rsidR="00336BB5" w:rsidRPr="00A0314F" w:rsidRDefault="00336BB5" w:rsidP="002C201A">
            <w:pPr>
              <w:spacing w:line="360" w:lineRule="auto"/>
              <w:rPr>
                <w:sz w:val="20"/>
                <w:szCs w:val="22"/>
              </w:rPr>
            </w:pPr>
            <w:r w:rsidRPr="00A0314F">
              <w:rPr>
                <w:sz w:val="20"/>
                <w:szCs w:val="22"/>
              </w:rPr>
              <w:t>−2 U</w:t>
            </w:r>
          </w:p>
        </w:tc>
      </w:tr>
      <w:tr w:rsidR="00FA60D4" w:rsidRPr="00A0314F" w14:paraId="11C6AE58" w14:textId="77777777" w:rsidTr="00B03739">
        <w:trPr>
          <w:trHeight w:val="408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14:paraId="08C6129B" w14:textId="4DEB9C11" w:rsidR="00FA60D4" w:rsidRPr="00A0314F" w:rsidRDefault="00FA60D4" w:rsidP="00336BB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2"/>
              </w:rPr>
            </w:pPr>
            <w:r w:rsidRPr="00A0314F">
              <w:rPr>
                <w:sz w:val="20"/>
                <w:szCs w:val="22"/>
              </w:rPr>
              <w:t xml:space="preserve">Severe hypoglycemia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1C489D8" w14:textId="77777777" w:rsidR="00FA60D4" w:rsidRPr="00A0314F" w:rsidRDefault="00FA60D4" w:rsidP="002C201A">
            <w:pPr>
              <w:spacing w:line="360" w:lineRule="auto"/>
              <w:rPr>
                <w:sz w:val="20"/>
                <w:szCs w:val="22"/>
              </w:rPr>
            </w:pPr>
          </w:p>
        </w:tc>
        <w:tc>
          <w:tcPr>
            <w:tcW w:w="2382" w:type="dxa"/>
            <w:vMerge w:val="restart"/>
            <w:tcBorders>
              <w:top w:val="nil"/>
              <w:left w:val="nil"/>
              <w:right w:val="nil"/>
            </w:tcBorders>
          </w:tcPr>
          <w:p w14:paraId="5BE8EC86" w14:textId="06DFCFEB" w:rsidR="00FA60D4" w:rsidRPr="00A0314F" w:rsidRDefault="00FA60D4" w:rsidP="002C201A">
            <w:pPr>
              <w:spacing w:line="360" w:lineRule="auto"/>
              <w:rPr>
                <w:sz w:val="20"/>
                <w:szCs w:val="22"/>
              </w:rPr>
            </w:pPr>
            <w:r w:rsidRPr="00A0314F">
              <w:rPr>
                <w:sz w:val="20"/>
                <w:szCs w:val="22"/>
              </w:rPr>
              <w:t>In addition to dose reduction, upward titration may be stopped for 1 week</w:t>
            </w:r>
          </w:p>
        </w:tc>
      </w:tr>
      <w:tr w:rsidR="00FA60D4" w:rsidRPr="00A0314F" w14:paraId="61698071" w14:textId="77777777" w:rsidTr="00B03739">
        <w:trPr>
          <w:trHeight w:val="408"/>
        </w:trPr>
        <w:tc>
          <w:tcPr>
            <w:tcW w:w="5075" w:type="dxa"/>
            <w:tcBorders>
              <w:top w:val="nil"/>
              <w:left w:val="nil"/>
              <w:right w:val="nil"/>
            </w:tcBorders>
          </w:tcPr>
          <w:p w14:paraId="39EB084C" w14:textId="3AF6B8AB" w:rsidR="00FA60D4" w:rsidRPr="00A0314F" w:rsidRDefault="00FA60D4" w:rsidP="00336BB5">
            <w:pPr>
              <w:spacing w:line="360" w:lineRule="auto"/>
              <w:rPr>
                <w:sz w:val="20"/>
                <w:szCs w:val="22"/>
              </w:rPr>
            </w:pPr>
            <w:r w:rsidRPr="00A0314F">
              <w:rPr>
                <w:sz w:val="20"/>
                <w:szCs w:val="22"/>
              </w:rPr>
              <w:t>Neurological symptoms, assistance required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08AA199D" w14:textId="77777777" w:rsidR="00FA60D4" w:rsidRPr="00A0314F" w:rsidRDefault="00FA60D4" w:rsidP="002C201A">
            <w:pPr>
              <w:spacing w:line="360" w:lineRule="auto"/>
              <w:rPr>
                <w:sz w:val="20"/>
                <w:szCs w:val="22"/>
              </w:rPr>
            </w:pPr>
          </w:p>
        </w:tc>
        <w:tc>
          <w:tcPr>
            <w:tcW w:w="2382" w:type="dxa"/>
            <w:vMerge/>
            <w:tcBorders>
              <w:left w:val="nil"/>
              <w:right w:val="nil"/>
            </w:tcBorders>
          </w:tcPr>
          <w:p w14:paraId="00A552E3" w14:textId="64FE3262" w:rsidR="00FA60D4" w:rsidRPr="00A0314F" w:rsidRDefault="00FA60D4" w:rsidP="002C201A">
            <w:pPr>
              <w:spacing w:line="360" w:lineRule="auto"/>
              <w:rPr>
                <w:sz w:val="20"/>
                <w:szCs w:val="22"/>
              </w:rPr>
            </w:pPr>
          </w:p>
        </w:tc>
      </w:tr>
    </w:tbl>
    <w:p w14:paraId="2388FF23" w14:textId="3495B09E" w:rsidR="00D84C3D" w:rsidRDefault="00015B4D" w:rsidP="00015B4D">
      <w:pPr>
        <w:spacing w:line="360" w:lineRule="auto"/>
      </w:pPr>
      <w:r w:rsidRPr="00BB429B">
        <w:t xml:space="preserve">*Median = the middle value of fasting (pre-breakfast) SMPG out of the three values from last 3 days including the current day. </w:t>
      </w:r>
      <w:r w:rsidR="00E810EE" w:rsidRPr="00E810EE">
        <w:rPr>
          <w:vertAlign w:val="superscript"/>
        </w:rPr>
        <w:t>†</w:t>
      </w:r>
      <w:r w:rsidRPr="00BB429B">
        <w:t xml:space="preserve">Severe hypoglycemia defined as a child/adolescent with altered mental status and inability to self-care, is semiconscious or unconscious, or in coma with or without convulsions, who may require parenteral therapy (glucagon or glucose). </w:t>
      </w:r>
    </w:p>
    <w:p w14:paraId="5B98867E" w14:textId="658B13F1" w:rsidR="00015B4D" w:rsidRDefault="00015B4D" w:rsidP="00015B4D">
      <w:pPr>
        <w:spacing w:line="360" w:lineRule="auto"/>
      </w:pPr>
      <w:proofErr w:type="spellStart"/>
      <w:r w:rsidRPr="00BB429B">
        <w:t>SMPG</w:t>
      </w:r>
      <w:proofErr w:type="spellEnd"/>
      <w:r w:rsidRPr="00BB429B">
        <w:t>, self-monitored plasma glucose</w:t>
      </w:r>
    </w:p>
    <w:p w14:paraId="4A0774C0" w14:textId="1B16B847" w:rsidR="00686BFF" w:rsidRDefault="00686BFF" w:rsidP="00015B4D">
      <w:pPr>
        <w:spacing w:line="360" w:lineRule="auto"/>
      </w:pPr>
    </w:p>
    <w:p w14:paraId="55A74C7B" w14:textId="0F8F585F" w:rsidR="00272E5F" w:rsidRPr="00520EE2" w:rsidRDefault="00686BFF" w:rsidP="00520EE2">
      <w:pPr>
        <w:pStyle w:val="Heading3"/>
        <w:spacing w:line="360" w:lineRule="auto"/>
        <w:contextualSpacing/>
      </w:pPr>
      <w:r>
        <w:lastRenderedPageBreak/>
        <w:t>Supplementary Table 2</w:t>
      </w:r>
      <w:r w:rsidR="000E5FCC">
        <w:t xml:space="preserve">. </w:t>
      </w:r>
      <w:r w:rsidR="00272E5F">
        <w:t xml:space="preserve">Tanner puberty stage classification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3650"/>
        <w:gridCol w:w="874"/>
        <w:gridCol w:w="3622"/>
      </w:tblGrid>
      <w:tr w:rsidR="00A1351B" w14:paraId="2C08BF2B" w14:textId="77777777" w:rsidTr="00520EE2">
        <w:tc>
          <w:tcPr>
            <w:tcW w:w="870" w:type="dxa"/>
            <w:tcBorders>
              <w:left w:val="nil"/>
              <w:right w:val="nil"/>
            </w:tcBorders>
          </w:tcPr>
          <w:p w14:paraId="1D6B45B6" w14:textId="77777777" w:rsidR="00A1351B" w:rsidRPr="00D245B9" w:rsidRDefault="00A1351B">
            <w:pPr>
              <w:spacing w:line="360" w:lineRule="auto"/>
              <w:contextualSpacing/>
              <w:rPr>
                <w:b/>
              </w:rPr>
            </w:pPr>
          </w:p>
        </w:tc>
        <w:tc>
          <w:tcPr>
            <w:tcW w:w="3650" w:type="dxa"/>
            <w:tcBorders>
              <w:left w:val="nil"/>
              <w:right w:val="nil"/>
            </w:tcBorders>
          </w:tcPr>
          <w:p w14:paraId="375E0FFD" w14:textId="365CD8F7" w:rsidR="00A1351B" w:rsidRPr="00D245B9" w:rsidRDefault="00FA6251">
            <w:pPr>
              <w:spacing w:line="360" w:lineRule="auto"/>
              <w:contextualSpacing/>
              <w:rPr>
                <w:b/>
              </w:rPr>
            </w:pPr>
            <w:r w:rsidRPr="001C7A69">
              <w:rPr>
                <w:b/>
              </w:rPr>
              <w:t>Classification of sexual maturity in girls</w:t>
            </w:r>
          </w:p>
        </w:tc>
        <w:tc>
          <w:tcPr>
            <w:tcW w:w="874" w:type="dxa"/>
            <w:tcBorders>
              <w:left w:val="nil"/>
              <w:right w:val="nil"/>
            </w:tcBorders>
          </w:tcPr>
          <w:p w14:paraId="2E983195" w14:textId="77777777" w:rsidR="00A1351B" w:rsidRPr="00D245B9" w:rsidRDefault="00A1351B">
            <w:pPr>
              <w:spacing w:line="360" w:lineRule="auto"/>
              <w:contextualSpacing/>
              <w:rPr>
                <w:b/>
              </w:rPr>
            </w:pPr>
          </w:p>
        </w:tc>
        <w:tc>
          <w:tcPr>
            <w:tcW w:w="3622" w:type="dxa"/>
            <w:tcBorders>
              <w:left w:val="nil"/>
              <w:right w:val="nil"/>
            </w:tcBorders>
          </w:tcPr>
          <w:p w14:paraId="1FB2DE59" w14:textId="77777777" w:rsidR="00A1351B" w:rsidRPr="00D245B9" w:rsidRDefault="00A1351B">
            <w:pPr>
              <w:spacing w:line="360" w:lineRule="auto"/>
              <w:contextualSpacing/>
              <w:rPr>
                <w:b/>
              </w:rPr>
            </w:pPr>
          </w:p>
        </w:tc>
      </w:tr>
      <w:tr w:rsidR="00666132" w14:paraId="1F212D62" w14:textId="77777777" w:rsidTr="00520EE2">
        <w:tc>
          <w:tcPr>
            <w:tcW w:w="870" w:type="dxa"/>
            <w:tcBorders>
              <w:left w:val="nil"/>
            </w:tcBorders>
          </w:tcPr>
          <w:p w14:paraId="0F6CA91E" w14:textId="6DFDF632" w:rsidR="00666132" w:rsidRPr="00520EE2" w:rsidRDefault="00666132" w:rsidP="00520EE2">
            <w:pPr>
              <w:spacing w:line="360" w:lineRule="auto"/>
              <w:contextualSpacing/>
              <w:rPr>
                <w:b/>
              </w:rPr>
            </w:pPr>
            <w:r w:rsidRPr="00520EE2">
              <w:rPr>
                <w:b/>
              </w:rPr>
              <w:t>Stage</w:t>
            </w:r>
          </w:p>
        </w:tc>
        <w:tc>
          <w:tcPr>
            <w:tcW w:w="3650" w:type="dxa"/>
          </w:tcPr>
          <w:p w14:paraId="56A0ADDA" w14:textId="21875F4D" w:rsidR="00666132" w:rsidRPr="00520EE2" w:rsidRDefault="00666132" w:rsidP="00520EE2">
            <w:pPr>
              <w:spacing w:line="360" w:lineRule="auto"/>
              <w:contextualSpacing/>
              <w:rPr>
                <w:b/>
              </w:rPr>
            </w:pPr>
            <w:r w:rsidRPr="00520EE2">
              <w:rPr>
                <w:b/>
              </w:rPr>
              <w:t>Pubic hair</w:t>
            </w:r>
          </w:p>
        </w:tc>
        <w:tc>
          <w:tcPr>
            <w:tcW w:w="874" w:type="dxa"/>
          </w:tcPr>
          <w:p w14:paraId="6D3A68BF" w14:textId="2C135E10" w:rsidR="00666132" w:rsidRPr="00520EE2" w:rsidRDefault="00666132" w:rsidP="00520EE2">
            <w:pPr>
              <w:spacing w:line="360" w:lineRule="auto"/>
              <w:contextualSpacing/>
              <w:rPr>
                <w:b/>
              </w:rPr>
            </w:pPr>
            <w:r w:rsidRPr="00520EE2">
              <w:rPr>
                <w:b/>
              </w:rPr>
              <w:t>Stage</w:t>
            </w:r>
          </w:p>
        </w:tc>
        <w:tc>
          <w:tcPr>
            <w:tcW w:w="3622" w:type="dxa"/>
            <w:tcBorders>
              <w:right w:val="nil"/>
            </w:tcBorders>
          </w:tcPr>
          <w:p w14:paraId="74D15E72" w14:textId="4D024DBF" w:rsidR="00666132" w:rsidRPr="00520EE2" w:rsidRDefault="00666132" w:rsidP="00520EE2">
            <w:pPr>
              <w:spacing w:line="360" w:lineRule="auto"/>
              <w:contextualSpacing/>
              <w:rPr>
                <w:b/>
              </w:rPr>
            </w:pPr>
            <w:r w:rsidRPr="00520EE2">
              <w:rPr>
                <w:b/>
              </w:rPr>
              <w:t>Breasts</w:t>
            </w:r>
          </w:p>
        </w:tc>
      </w:tr>
      <w:tr w:rsidR="00666132" w14:paraId="05075D94" w14:textId="77777777" w:rsidTr="00520EE2">
        <w:tc>
          <w:tcPr>
            <w:tcW w:w="870" w:type="dxa"/>
            <w:tcBorders>
              <w:left w:val="nil"/>
            </w:tcBorders>
          </w:tcPr>
          <w:p w14:paraId="56D6C6B7" w14:textId="40984C27" w:rsidR="00666132" w:rsidRDefault="00666132" w:rsidP="00520EE2">
            <w:pPr>
              <w:spacing w:line="360" w:lineRule="auto"/>
              <w:contextualSpacing/>
            </w:pPr>
            <w:r>
              <w:t>P1</w:t>
            </w:r>
          </w:p>
        </w:tc>
        <w:tc>
          <w:tcPr>
            <w:tcW w:w="3650" w:type="dxa"/>
          </w:tcPr>
          <w:p w14:paraId="08924A94" w14:textId="0234B9FF" w:rsidR="00666132" w:rsidRDefault="00666132" w:rsidP="00520EE2">
            <w:pPr>
              <w:spacing w:line="360" w:lineRule="auto"/>
              <w:contextualSpacing/>
            </w:pPr>
            <w:r>
              <w:t>Preadolescent</w:t>
            </w:r>
          </w:p>
        </w:tc>
        <w:tc>
          <w:tcPr>
            <w:tcW w:w="874" w:type="dxa"/>
          </w:tcPr>
          <w:p w14:paraId="6F43B90C" w14:textId="3A0CEFCC" w:rsidR="00666132" w:rsidRDefault="00666132" w:rsidP="00520EE2">
            <w:pPr>
              <w:spacing w:line="360" w:lineRule="auto"/>
              <w:contextualSpacing/>
            </w:pPr>
            <w:r>
              <w:t>B1</w:t>
            </w:r>
          </w:p>
        </w:tc>
        <w:tc>
          <w:tcPr>
            <w:tcW w:w="3622" w:type="dxa"/>
            <w:tcBorders>
              <w:right w:val="nil"/>
            </w:tcBorders>
          </w:tcPr>
          <w:p w14:paraId="141F04C9" w14:textId="06B6E6A5" w:rsidR="00666132" w:rsidRDefault="00734B4F" w:rsidP="00520EE2">
            <w:pPr>
              <w:spacing w:line="360" w:lineRule="auto"/>
              <w:contextualSpacing/>
            </w:pPr>
            <w:r>
              <w:t>Preadolescent</w:t>
            </w:r>
          </w:p>
        </w:tc>
      </w:tr>
      <w:tr w:rsidR="00666132" w14:paraId="2137FBC4" w14:textId="77777777" w:rsidTr="00520EE2">
        <w:tc>
          <w:tcPr>
            <w:tcW w:w="870" w:type="dxa"/>
            <w:tcBorders>
              <w:left w:val="nil"/>
            </w:tcBorders>
          </w:tcPr>
          <w:p w14:paraId="069D9FFB" w14:textId="40D3A0B1" w:rsidR="00666132" w:rsidRDefault="00734B4F" w:rsidP="00520EE2">
            <w:pPr>
              <w:spacing w:line="360" w:lineRule="auto"/>
              <w:contextualSpacing/>
            </w:pPr>
            <w:r>
              <w:t>P2</w:t>
            </w:r>
          </w:p>
        </w:tc>
        <w:tc>
          <w:tcPr>
            <w:tcW w:w="3650" w:type="dxa"/>
          </w:tcPr>
          <w:p w14:paraId="680F0FE9" w14:textId="3551D7B9" w:rsidR="00666132" w:rsidRDefault="00734B4F" w:rsidP="00520EE2">
            <w:pPr>
              <w:spacing w:line="360" w:lineRule="auto"/>
              <w:contextualSpacing/>
            </w:pPr>
            <w:r>
              <w:t>Sparse, lightly pigmented, straight, medial border of labia</w:t>
            </w:r>
          </w:p>
        </w:tc>
        <w:tc>
          <w:tcPr>
            <w:tcW w:w="874" w:type="dxa"/>
          </w:tcPr>
          <w:p w14:paraId="24E25289" w14:textId="631F02F9" w:rsidR="00666132" w:rsidRDefault="00666132" w:rsidP="00520EE2">
            <w:pPr>
              <w:spacing w:line="360" w:lineRule="auto"/>
              <w:contextualSpacing/>
            </w:pPr>
            <w:r>
              <w:t>B2</w:t>
            </w:r>
          </w:p>
        </w:tc>
        <w:tc>
          <w:tcPr>
            <w:tcW w:w="3622" w:type="dxa"/>
            <w:tcBorders>
              <w:right w:val="nil"/>
            </w:tcBorders>
          </w:tcPr>
          <w:p w14:paraId="19851309" w14:textId="5F134220" w:rsidR="00666132" w:rsidRDefault="00734B4F" w:rsidP="00520EE2">
            <w:pPr>
              <w:spacing w:line="360" w:lineRule="auto"/>
              <w:contextualSpacing/>
            </w:pPr>
            <w:r>
              <w:t>Breast and papilla elevated as small mound; areolar diameter increased</w:t>
            </w:r>
          </w:p>
        </w:tc>
      </w:tr>
      <w:tr w:rsidR="00666132" w14:paraId="22B8D7F8" w14:textId="77777777" w:rsidTr="00520EE2">
        <w:tc>
          <w:tcPr>
            <w:tcW w:w="870" w:type="dxa"/>
            <w:tcBorders>
              <w:left w:val="nil"/>
            </w:tcBorders>
          </w:tcPr>
          <w:p w14:paraId="7BC24A38" w14:textId="5192D1A6" w:rsidR="00666132" w:rsidRDefault="00734B4F" w:rsidP="00520EE2">
            <w:pPr>
              <w:spacing w:line="360" w:lineRule="auto"/>
              <w:contextualSpacing/>
            </w:pPr>
            <w:r>
              <w:t>P3</w:t>
            </w:r>
          </w:p>
        </w:tc>
        <w:tc>
          <w:tcPr>
            <w:tcW w:w="3650" w:type="dxa"/>
          </w:tcPr>
          <w:p w14:paraId="67A63323" w14:textId="6394B924" w:rsidR="00666132" w:rsidRDefault="00734B4F" w:rsidP="00520EE2">
            <w:pPr>
              <w:spacing w:line="360" w:lineRule="auto"/>
              <w:contextualSpacing/>
            </w:pPr>
            <w:r>
              <w:t>Darker, beginning to curl, increased amount</w:t>
            </w:r>
          </w:p>
        </w:tc>
        <w:tc>
          <w:tcPr>
            <w:tcW w:w="874" w:type="dxa"/>
          </w:tcPr>
          <w:p w14:paraId="6E04BC06" w14:textId="2485679A" w:rsidR="00666132" w:rsidRDefault="00666132" w:rsidP="00520EE2">
            <w:pPr>
              <w:spacing w:line="360" w:lineRule="auto"/>
              <w:contextualSpacing/>
            </w:pPr>
            <w:r>
              <w:t>B3</w:t>
            </w:r>
          </w:p>
        </w:tc>
        <w:tc>
          <w:tcPr>
            <w:tcW w:w="3622" w:type="dxa"/>
            <w:tcBorders>
              <w:right w:val="nil"/>
            </w:tcBorders>
          </w:tcPr>
          <w:p w14:paraId="46AE2B1D" w14:textId="604B3E77" w:rsidR="00666132" w:rsidRDefault="00734B4F" w:rsidP="00520EE2">
            <w:pPr>
              <w:spacing w:line="360" w:lineRule="auto"/>
              <w:contextualSpacing/>
            </w:pPr>
            <w:r>
              <w:t xml:space="preserve">Breast and areola </w:t>
            </w:r>
            <w:r w:rsidR="00014D61">
              <w:t>enlarged, no contour separation</w:t>
            </w:r>
          </w:p>
        </w:tc>
      </w:tr>
      <w:tr w:rsidR="00666132" w14:paraId="4E9F4AA5" w14:textId="77777777" w:rsidTr="00520EE2">
        <w:tc>
          <w:tcPr>
            <w:tcW w:w="870" w:type="dxa"/>
            <w:tcBorders>
              <w:left w:val="nil"/>
            </w:tcBorders>
          </w:tcPr>
          <w:p w14:paraId="2842162B" w14:textId="72DEB220" w:rsidR="00666132" w:rsidRDefault="00734B4F" w:rsidP="00520EE2">
            <w:pPr>
              <w:spacing w:line="360" w:lineRule="auto"/>
              <w:contextualSpacing/>
            </w:pPr>
            <w:r>
              <w:t>P4</w:t>
            </w:r>
          </w:p>
        </w:tc>
        <w:tc>
          <w:tcPr>
            <w:tcW w:w="3650" w:type="dxa"/>
          </w:tcPr>
          <w:p w14:paraId="0A5937A1" w14:textId="05B67834" w:rsidR="00666132" w:rsidRDefault="00734B4F" w:rsidP="00520EE2">
            <w:pPr>
              <w:spacing w:line="360" w:lineRule="auto"/>
              <w:contextualSpacing/>
            </w:pPr>
            <w:r>
              <w:t>Coarse, curly, abundant but amount less than adult</w:t>
            </w:r>
          </w:p>
        </w:tc>
        <w:tc>
          <w:tcPr>
            <w:tcW w:w="874" w:type="dxa"/>
          </w:tcPr>
          <w:p w14:paraId="1BB7E452" w14:textId="4CD623B8" w:rsidR="00666132" w:rsidRDefault="00666132" w:rsidP="00520EE2">
            <w:pPr>
              <w:spacing w:line="360" w:lineRule="auto"/>
              <w:contextualSpacing/>
            </w:pPr>
            <w:r>
              <w:t>B4</w:t>
            </w:r>
          </w:p>
        </w:tc>
        <w:tc>
          <w:tcPr>
            <w:tcW w:w="3622" w:type="dxa"/>
            <w:tcBorders>
              <w:right w:val="nil"/>
            </w:tcBorders>
          </w:tcPr>
          <w:p w14:paraId="78BEE68B" w14:textId="17ED70ED" w:rsidR="00666132" w:rsidRDefault="00014D61" w:rsidP="00520EE2">
            <w:pPr>
              <w:spacing w:line="360" w:lineRule="auto"/>
              <w:contextualSpacing/>
            </w:pPr>
            <w:r>
              <w:t xml:space="preserve">Areola and papilla from secondary mound </w:t>
            </w:r>
          </w:p>
        </w:tc>
      </w:tr>
      <w:tr w:rsidR="00666132" w14:paraId="0117927F" w14:textId="77777777" w:rsidTr="00520EE2">
        <w:tc>
          <w:tcPr>
            <w:tcW w:w="870" w:type="dxa"/>
            <w:tcBorders>
              <w:left w:val="nil"/>
            </w:tcBorders>
          </w:tcPr>
          <w:p w14:paraId="4FFF885D" w14:textId="7B76A9DD" w:rsidR="00666132" w:rsidRDefault="00734B4F" w:rsidP="00520EE2">
            <w:pPr>
              <w:spacing w:line="360" w:lineRule="auto"/>
              <w:contextualSpacing/>
            </w:pPr>
            <w:r>
              <w:t>P5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14:paraId="191F2B42" w14:textId="14FCE655" w:rsidR="00666132" w:rsidRDefault="00734B4F" w:rsidP="00520EE2">
            <w:pPr>
              <w:spacing w:line="360" w:lineRule="auto"/>
              <w:contextualSpacing/>
            </w:pPr>
            <w:r>
              <w:t>Adult feminine triangle, spread to medial surface of thighs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5BCB43CA" w14:textId="045D8527" w:rsidR="00666132" w:rsidRDefault="00666132" w:rsidP="00520EE2">
            <w:pPr>
              <w:spacing w:line="360" w:lineRule="auto"/>
              <w:contextualSpacing/>
            </w:pPr>
            <w:r>
              <w:t>B5</w:t>
            </w:r>
          </w:p>
        </w:tc>
        <w:tc>
          <w:tcPr>
            <w:tcW w:w="3622" w:type="dxa"/>
            <w:tcBorders>
              <w:bottom w:val="single" w:sz="4" w:space="0" w:color="auto"/>
              <w:right w:val="nil"/>
            </w:tcBorders>
          </w:tcPr>
          <w:p w14:paraId="1FF47ACB" w14:textId="6E8A29DA" w:rsidR="00666132" w:rsidRDefault="00014D61" w:rsidP="00520EE2">
            <w:pPr>
              <w:spacing w:line="360" w:lineRule="auto"/>
              <w:contextualSpacing/>
            </w:pPr>
            <w:r>
              <w:t>Mature; nipple projects, areola part of general breast contour</w:t>
            </w:r>
          </w:p>
        </w:tc>
      </w:tr>
      <w:tr w:rsidR="00FA6251" w14:paraId="44E9536F" w14:textId="77777777" w:rsidTr="00520EE2">
        <w:tc>
          <w:tcPr>
            <w:tcW w:w="870" w:type="dxa"/>
            <w:tcBorders>
              <w:left w:val="nil"/>
              <w:right w:val="nil"/>
            </w:tcBorders>
          </w:tcPr>
          <w:p w14:paraId="37F5D4AC" w14:textId="77777777" w:rsidR="00FA6251" w:rsidRDefault="00FA6251">
            <w:pPr>
              <w:spacing w:line="360" w:lineRule="auto"/>
              <w:contextualSpacing/>
            </w:pPr>
          </w:p>
        </w:tc>
        <w:tc>
          <w:tcPr>
            <w:tcW w:w="3650" w:type="dxa"/>
            <w:tcBorders>
              <w:left w:val="nil"/>
              <w:right w:val="nil"/>
            </w:tcBorders>
          </w:tcPr>
          <w:p w14:paraId="6CEC908A" w14:textId="6D317753" w:rsidR="00FA6251" w:rsidRDefault="00FA6251">
            <w:pPr>
              <w:spacing w:line="360" w:lineRule="auto"/>
              <w:contextualSpacing/>
            </w:pPr>
            <w:r w:rsidRPr="00321DAA">
              <w:rPr>
                <w:b/>
              </w:rPr>
              <w:t>Classification of sexual maturity in boys</w:t>
            </w:r>
          </w:p>
        </w:tc>
        <w:tc>
          <w:tcPr>
            <w:tcW w:w="874" w:type="dxa"/>
            <w:tcBorders>
              <w:left w:val="nil"/>
              <w:right w:val="nil"/>
            </w:tcBorders>
          </w:tcPr>
          <w:p w14:paraId="4A71F7F7" w14:textId="77777777" w:rsidR="00FA6251" w:rsidRDefault="00FA6251">
            <w:pPr>
              <w:spacing w:line="360" w:lineRule="auto"/>
              <w:contextualSpacing/>
            </w:pPr>
          </w:p>
        </w:tc>
        <w:tc>
          <w:tcPr>
            <w:tcW w:w="3622" w:type="dxa"/>
            <w:tcBorders>
              <w:left w:val="nil"/>
              <w:right w:val="nil"/>
            </w:tcBorders>
          </w:tcPr>
          <w:p w14:paraId="1142A60F" w14:textId="77777777" w:rsidR="00FA6251" w:rsidRDefault="00FA6251">
            <w:pPr>
              <w:spacing w:line="360" w:lineRule="auto"/>
              <w:contextualSpacing/>
            </w:pPr>
          </w:p>
        </w:tc>
      </w:tr>
      <w:tr w:rsidR="00AC43BE" w14:paraId="3042DB2B" w14:textId="77777777" w:rsidTr="00520EE2">
        <w:tc>
          <w:tcPr>
            <w:tcW w:w="870" w:type="dxa"/>
            <w:tcBorders>
              <w:left w:val="nil"/>
            </w:tcBorders>
          </w:tcPr>
          <w:p w14:paraId="1B1DB2E0" w14:textId="1D0212D3" w:rsidR="00AC43BE" w:rsidRDefault="00AC43BE" w:rsidP="00520EE2">
            <w:pPr>
              <w:spacing w:line="360" w:lineRule="auto"/>
              <w:contextualSpacing/>
            </w:pPr>
            <w:r w:rsidRPr="003502E3">
              <w:rPr>
                <w:b/>
              </w:rPr>
              <w:t>Stage</w:t>
            </w:r>
          </w:p>
        </w:tc>
        <w:tc>
          <w:tcPr>
            <w:tcW w:w="3650" w:type="dxa"/>
          </w:tcPr>
          <w:p w14:paraId="5D63FCA3" w14:textId="7398FB25" w:rsidR="00AC43BE" w:rsidRDefault="00AC43BE" w:rsidP="00520EE2">
            <w:pPr>
              <w:spacing w:line="360" w:lineRule="auto"/>
              <w:contextualSpacing/>
            </w:pPr>
            <w:r w:rsidRPr="003502E3">
              <w:rPr>
                <w:b/>
              </w:rPr>
              <w:t>Pubic hair</w:t>
            </w:r>
          </w:p>
        </w:tc>
        <w:tc>
          <w:tcPr>
            <w:tcW w:w="874" w:type="dxa"/>
          </w:tcPr>
          <w:p w14:paraId="5FDFDB12" w14:textId="4EE7BA1E" w:rsidR="00AC43BE" w:rsidRDefault="00AC43BE" w:rsidP="00520EE2">
            <w:pPr>
              <w:spacing w:line="360" w:lineRule="auto"/>
              <w:contextualSpacing/>
            </w:pPr>
            <w:r w:rsidRPr="003502E3">
              <w:rPr>
                <w:b/>
              </w:rPr>
              <w:t>Stage</w:t>
            </w:r>
          </w:p>
        </w:tc>
        <w:tc>
          <w:tcPr>
            <w:tcW w:w="3622" w:type="dxa"/>
            <w:tcBorders>
              <w:right w:val="nil"/>
            </w:tcBorders>
          </w:tcPr>
          <w:p w14:paraId="29E423EC" w14:textId="08DAD5C7" w:rsidR="00AC43BE" w:rsidRPr="00520EE2" w:rsidRDefault="00AC43BE" w:rsidP="00520EE2">
            <w:pPr>
              <w:spacing w:line="360" w:lineRule="auto"/>
              <w:contextualSpacing/>
              <w:rPr>
                <w:b/>
              </w:rPr>
            </w:pPr>
            <w:r w:rsidRPr="00520EE2">
              <w:rPr>
                <w:b/>
              </w:rPr>
              <w:t>Testes</w:t>
            </w:r>
          </w:p>
        </w:tc>
      </w:tr>
      <w:tr w:rsidR="00AC43BE" w14:paraId="402AA219" w14:textId="77777777" w:rsidTr="00520EE2">
        <w:tc>
          <w:tcPr>
            <w:tcW w:w="870" w:type="dxa"/>
            <w:tcBorders>
              <w:left w:val="nil"/>
            </w:tcBorders>
          </w:tcPr>
          <w:p w14:paraId="02267FA6" w14:textId="65AD293D" w:rsidR="00AC43BE" w:rsidRDefault="00AC43BE" w:rsidP="00520EE2">
            <w:pPr>
              <w:spacing w:line="360" w:lineRule="auto"/>
              <w:contextualSpacing/>
            </w:pPr>
            <w:r>
              <w:t>P1</w:t>
            </w:r>
          </w:p>
        </w:tc>
        <w:tc>
          <w:tcPr>
            <w:tcW w:w="3650" w:type="dxa"/>
          </w:tcPr>
          <w:p w14:paraId="19FBA3AD" w14:textId="0DED308D" w:rsidR="00AC43BE" w:rsidRDefault="00AC43BE" w:rsidP="00520EE2">
            <w:pPr>
              <w:spacing w:line="360" w:lineRule="auto"/>
              <w:contextualSpacing/>
            </w:pPr>
            <w:r>
              <w:t>None</w:t>
            </w:r>
          </w:p>
        </w:tc>
        <w:tc>
          <w:tcPr>
            <w:tcW w:w="874" w:type="dxa"/>
          </w:tcPr>
          <w:p w14:paraId="65C2E94E" w14:textId="6CF56044" w:rsidR="00AC43BE" w:rsidRDefault="00AC43BE" w:rsidP="00520EE2">
            <w:pPr>
              <w:spacing w:line="360" w:lineRule="auto"/>
              <w:contextualSpacing/>
            </w:pPr>
            <w:r>
              <w:t>T1</w:t>
            </w:r>
          </w:p>
        </w:tc>
        <w:tc>
          <w:tcPr>
            <w:tcW w:w="3622" w:type="dxa"/>
            <w:tcBorders>
              <w:right w:val="nil"/>
            </w:tcBorders>
          </w:tcPr>
          <w:p w14:paraId="017D54CB" w14:textId="791D4A1E" w:rsidR="00AC43BE" w:rsidRDefault="00016E57" w:rsidP="00520EE2">
            <w:pPr>
              <w:spacing w:line="360" w:lineRule="auto"/>
              <w:contextualSpacing/>
            </w:pPr>
            <w:r>
              <w:t>Preadolescent</w:t>
            </w:r>
          </w:p>
        </w:tc>
      </w:tr>
      <w:tr w:rsidR="00AC43BE" w14:paraId="358A3D9D" w14:textId="77777777" w:rsidTr="00520EE2">
        <w:tc>
          <w:tcPr>
            <w:tcW w:w="870" w:type="dxa"/>
            <w:tcBorders>
              <w:left w:val="nil"/>
            </w:tcBorders>
          </w:tcPr>
          <w:p w14:paraId="390EF034" w14:textId="3F13FFC6" w:rsidR="00AC43BE" w:rsidRDefault="00AC43BE" w:rsidP="00520EE2">
            <w:pPr>
              <w:spacing w:line="360" w:lineRule="auto"/>
              <w:contextualSpacing/>
            </w:pPr>
            <w:r>
              <w:t>P2</w:t>
            </w:r>
          </w:p>
        </w:tc>
        <w:tc>
          <w:tcPr>
            <w:tcW w:w="3650" w:type="dxa"/>
          </w:tcPr>
          <w:p w14:paraId="0D21BDF4" w14:textId="08416A7A" w:rsidR="00AC43BE" w:rsidRDefault="00016E57" w:rsidP="00520EE2">
            <w:pPr>
              <w:spacing w:line="360" w:lineRule="auto"/>
              <w:contextualSpacing/>
            </w:pPr>
            <w:r>
              <w:t>Scanty, long, slightly pigmented</w:t>
            </w:r>
          </w:p>
        </w:tc>
        <w:tc>
          <w:tcPr>
            <w:tcW w:w="874" w:type="dxa"/>
          </w:tcPr>
          <w:p w14:paraId="628102EB" w14:textId="366CFB3D" w:rsidR="00AC43BE" w:rsidRDefault="00AC43BE" w:rsidP="00520EE2">
            <w:pPr>
              <w:spacing w:line="360" w:lineRule="auto"/>
              <w:contextualSpacing/>
            </w:pPr>
            <w:r>
              <w:t>T2</w:t>
            </w:r>
          </w:p>
        </w:tc>
        <w:tc>
          <w:tcPr>
            <w:tcW w:w="3622" w:type="dxa"/>
            <w:tcBorders>
              <w:right w:val="nil"/>
            </w:tcBorders>
          </w:tcPr>
          <w:p w14:paraId="0A59E3F1" w14:textId="4AEA0829" w:rsidR="00AC43BE" w:rsidRDefault="00FB2FF3" w:rsidP="00520EE2">
            <w:pPr>
              <w:spacing w:line="360" w:lineRule="auto"/>
              <w:contextualSpacing/>
            </w:pPr>
            <w:r>
              <w:t>Enlarged scrotum, pink texture altered</w:t>
            </w:r>
          </w:p>
        </w:tc>
      </w:tr>
      <w:tr w:rsidR="00AC43BE" w14:paraId="6A02E4EA" w14:textId="77777777" w:rsidTr="00520EE2">
        <w:tc>
          <w:tcPr>
            <w:tcW w:w="870" w:type="dxa"/>
            <w:tcBorders>
              <w:left w:val="nil"/>
            </w:tcBorders>
          </w:tcPr>
          <w:p w14:paraId="6784535C" w14:textId="7D481702" w:rsidR="00AC43BE" w:rsidRDefault="00AC43BE" w:rsidP="00520EE2">
            <w:pPr>
              <w:spacing w:line="360" w:lineRule="auto"/>
              <w:contextualSpacing/>
            </w:pPr>
            <w:r>
              <w:t>P3</w:t>
            </w:r>
          </w:p>
        </w:tc>
        <w:tc>
          <w:tcPr>
            <w:tcW w:w="3650" w:type="dxa"/>
          </w:tcPr>
          <w:p w14:paraId="5A7ED559" w14:textId="7C5E9381" w:rsidR="00AC43BE" w:rsidRDefault="00016E57" w:rsidP="00520EE2">
            <w:pPr>
              <w:spacing w:line="360" w:lineRule="auto"/>
              <w:contextualSpacing/>
            </w:pPr>
            <w:r>
              <w:t>Darker, starts to curl, small amount</w:t>
            </w:r>
          </w:p>
        </w:tc>
        <w:tc>
          <w:tcPr>
            <w:tcW w:w="874" w:type="dxa"/>
          </w:tcPr>
          <w:p w14:paraId="4ECBAADF" w14:textId="2A64D8C5" w:rsidR="00AC43BE" w:rsidRDefault="00AC43BE" w:rsidP="00520EE2">
            <w:pPr>
              <w:spacing w:line="360" w:lineRule="auto"/>
              <w:contextualSpacing/>
            </w:pPr>
            <w:r>
              <w:t>T3</w:t>
            </w:r>
          </w:p>
        </w:tc>
        <w:tc>
          <w:tcPr>
            <w:tcW w:w="3622" w:type="dxa"/>
            <w:tcBorders>
              <w:right w:val="nil"/>
            </w:tcBorders>
          </w:tcPr>
          <w:p w14:paraId="76670A4B" w14:textId="026FA2A9" w:rsidR="00AC43BE" w:rsidRDefault="002541C1" w:rsidP="00520EE2">
            <w:pPr>
              <w:spacing w:line="360" w:lineRule="auto"/>
              <w:contextualSpacing/>
            </w:pPr>
            <w:r>
              <w:t>Larger</w:t>
            </w:r>
          </w:p>
        </w:tc>
      </w:tr>
      <w:tr w:rsidR="00AC43BE" w14:paraId="2B100689" w14:textId="77777777" w:rsidTr="00520EE2">
        <w:tc>
          <w:tcPr>
            <w:tcW w:w="870" w:type="dxa"/>
            <w:tcBorders>
              <w:left w:val="nil"/>
            </w:tcBorders>
          </w:tcPr>
          <w:p w14:paraId="56705AA3" w14:textId="51A79DE3" w:rsidR="00AC43BE" w:rsidRDefault="00AC43BE" w:rsidP="00520EE2">
            <w:pPr>
              <w:spacing w:line="360" w:lineRule="auto"/>
              <w:contextualSpacing/>
            </w:pPr>
            <w:r>
              <w:t>P4</w:t>
            </w:r>
          </w:p>
        </w:tc>
        <w:tc>
          <w:tcPr>
            <w:tcW w:w="3650" w:type="dxa"/>
          </w:tcPr>
          <w:p w14:paraId="2F5215C1" w14:textId="5399A9A0" w:rsidR="00AC43BE" w:rsidRDefault="00016E57" w:rsidP="00520EE2">
            <w:pPr>
              <w:spacing w:line="360" w:lineRule="auto"/>
              <w:contextualSpacing/>
            </w:pPr>
            <w:r>
              <w:t>Resembles adult type, but less in quantity; coarse, curly</w:t>
            </w:r>
          </w:p>
        </w:tc>
        <w:tc>
          <w:tcPr>
            <w:tcW w:w="874" w:type="dxa"/>
          </w:tcPr>
          <w:p w14:paraId="7B194E39" w14:textId="2682F680" w:rsidR="00AC43BE" w:rsidRDefault="00AC43BE" w:rsidP="00520EE2">
            <w:pPr>
              <w:spacing w:line="360" w:lineRule="auto"/>
              <w:contextualSpacing/>
            </w:pPr>
            <w:r>
              <w:t>T4</w:t>
            </w:r>
          </w:p>
        </w:tc>
        <w:tc>
          <w:tcPr>
            <w:tcW w:w="3622" w:type="dxa"/>
            <w:tcBorders>
              <w:right w:val="nil"/>
            </w:tcBorders>
          </w:tcPr>
          <w:p w14:paraId="14DADAFE" w14:textId="75FE37F1" w:rsidR="00AC43BE" w:rsidRDefault="002541C1" w:rsidP="00520EE2">
            <w:pPr>
              <w:pStyle w:val="ListBullet"/>
              <w:numPr>
                <w:ilvl w:val="0"/>
                <w:numId w:val="0"/>
              </w:numPr>
              <w:spacing w:line="360" w:lineRule="auto"/>
              <w:ind w:left="360" w:hanging="360"/>
            </w:pPr>
            <w:r>
              <w:t>Larger, scrotum dark</w:t>
            </w:r>
          </w:p>
        </w:tc>
      </w:tr>
      <w:tr w:rsidR="00AC43BE" w14:paraId="5C20C4E2" w14:textId="77777777" w:rsidTr="00520EE2">
        <w:trPr>
          <w:trHeight w:val="70"/>
        </w:trPr>
        <w:tc>
          <w:tcPr>
            <w:tcW w:w="870" w:type="dxa"/>
            <w:tcBorders>
              <w:left w:val="nil"/>
            </w:tcBorders>
          </w:tcPr>
          <w:p w14:paraId="47C5E61E" w14:textId="702E0B43" w:rsidR="00AC43BE" w:rsidRDefault="00AC43BE" w:rsidP="00520EE2">
            <w:pPr>
              <w:spacing w:line="360" w:lineRule="auto"/>
              <w:contextualSpacing/>
            </w:pPr>
            <w:r>
              <w:t>P5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14:paraId="0E19E697" w14:textId="681EBC37" w:rsidR="00AC43BE" w:rsidRDefault="00016E57" w:rsidP="00520EE2">
            <w:pPr>
              <w:spacing w:line="360" w:lineRule="auto"/>
              <w:contextualSpacing/>
            </w:pPr>
            <w:r>
              <w:t>Adult distribution, spread to medial surface of thighs</w:t>
            </w:r>
          </w:p>
        </w:tc>
        <w:tc>
          <w:tcPr>
            <w:tcW w:w="874" w:type="dxa"/>
          </w:tcPr>
          <w:p w14:paraId="12AFF298" w14:textId="2B4D0113" w:rsidR="00AC43BE" w:rsidRDefault="00AC43BE" w:rsidP="00520EE2">
            <w:pPr>
              <w:spacing w:line="360" w:lineRule="auto"/>
              <w:contextualSpacing/>
            </w:pPr>
            <w:r>
              <w:t>T5</w:t>
            </w:r>
          </w:p>
        </w:tc>
        <w:tc>
          <w:tcPr>
            <w:tcW w:w="3622" w:type="dxa"/>
            <w:tcBorders>
              <w:bottom w:val="single" w:sz="4" w:space="0" w:color="auto"/>
              <w:right w:val="nil"/>
            </w:tcBorders>
          </w:tcPr>
          <w:p w14:paraId="02FA6C7E" w14:textId="0C311316" w:rsidR="00AC43BE" w:rsidRDefault="002541C1" w:rsidP="00520EE2">
            <w:pPr>
              <w:spacing w:line="360" w:lineRule="auto"/>
              <w:contextualSpacing/>
            </w:pPr>
            <w:r>
              <w:t>Adult size</w:t>
            </w:r>
          </w:p>
        </w:tc>
      </w:tr>
      <w:tr w:rsidR="00FA6251" w14:paraId="7C58E28C" w14:textId="77777777" w:rsidTr="00520EE2">
        <w:trPr>
          <w:trHeight w:val="70"/>
        </w:trPr>
        <w:tc>
          <w:tcPr>
            <w:tcW w:w="870" w:type="dxa"/>
            <w:tcBorders>
              <w:left w:val="nil"/>
              <w:right w:val="nil"/>
            </w:tcBorders>
          </w:tcPr>
          <w:p w14:paraId="25EB74E1" w14:textId="77777777" w:rsidR="00FA6251" w:rsidRDefault="00FA6251">
            <w:pPr>
              <w:spacing w:line="360" w:lineRule="auto"/>
              <w:contextualSpacing/>
            </w:pPr>
          </w:p>
        </w:tc>
        <w:tc>
          <w:tcPr>
            <w:tcW w:w="3650" w:type="dxa"/>
            <w:tcBorders>
              <w:left w:val="nil"/>
              <w:right w:val="nil"/>
            </w:tcBorders>
          </w:tcPr>
          <w:p w14:paraId="54EF9C1A" w14:textId="6F4EE9C8" w:rsidR="00FA6251" w:rsidRDefault="00FA6251">
            <w:pPr>
              <w:spacing w:line="360" w:lineRule="auto"/>
              <w:contextualSpacing/>
            </w:pPr>
            <w:r w:rsidRPr="00321DAA">
              <w:rPr>
                <w:b/>
              </w:rPr>
              <w:t>Evaluation</w:t>
            </w:r>
            <w:r w:rsidR="009D6B72">
              <w:rPr>
                <w:b/>
              </w:rPr>
              <w:t xml:space="preserve"> by stage</w:t>
            </w:r>
          </w:p>
        </w:tc>
        <w:tc>
          <w:tcPr>
            <w:tcW w:w="874" w:type="dxa"/>
            <w:tcBorders>
              <w:left w:val="nil"/>
              <w:right w:val="nil"/>
            </w:tcBorders>
          </w:tcPr>
          <w:p w14:paraId="07446C69" w14:textId="77777777" w:rsidR="00FA6251" w:rsidRDefault="00FA6251">
            <w:pPr>
              <w:spacing w:line="360" w:lineRule="auto"/>
              <w:contextualSpacing/>
            </w:pPr>
          </w:p>
        </w:tc>
        <w:tc>
          <w:tcPr>
            <w:tcW w:w="3622" w:type="dxa"/>
            <w:tcBorders>
              <w:left w:val="nil"/>
              <w:right w:val="nil"/>
            </w:tcBorders>
          </w:tcPr>
          <w:p w14:paraId="66FFBF40" w14:textId="75F86884" w:rsidR="00FA6251" w:rsidRPr="00520EE2" w:rsidRDefault="00D245B9">
            <w:pPr>
              <w:spacing w:line="360" w:lineRule="auto"/>
              <w:contextualSpacing/>
              <w:rPr>
                <w:b/>
              </w:rPr>
            </w:pPr>
            <w:r w:rsidRPr="00520EE2">
              <w:rPr>
                <w:b/>
              </w:rPr>
              <w:t>Classification</w:t>
            </w:r>
          </w:p>
        </w:tc>
      </w:tr>
      <w:tr w:rsidR="00554F17" w14:paraId="0135392C" w14:textId="77777777" w:rsidTr="00520EE2">
        <w:trPr>
          <w:trHeight w:val="70"/>
        </w:trPr>
        <w:tc>
          <w:tcPr>
            <w:tcW w:w="870" w:type="dxa"/>
            <w:tcBorders>
              <w:left w:val="nil"/>
              <w:right w:val="nil"/>
            </w:tcBorders>
          </w:tcPr>
          <w:p w14:paraId="00726D08" w14:textId="77777777" w:rsidR="00554F17" w:rsidRDefault="00554F17">
            <w:pPr>
              <w:spacing w:line="360" w:lineRule="auto"/>
              <w:contextualSpacing/>
            </w:pPr>
          </w:p>
        </w:tc>
        <w:tc>
          <w:tcPr>
            <w:tcW w:w="3650" w:type="dxa"/>
            <w:tcBorders>
              <w:left w:val="nil"/>
              <w:right w:val="nil"/>
            </w:tcBorders>
          </w:tcPr>
          <w:p w14:paraId="40CD7B1D" w14:textId="06D625DB" w:rsidR="00554F17" w:rsidRPr="00321DAA" w:rsidRDefault="00554F17">
            <w:pPr>
              <w:spacing w:line="360" w:lineRule="auto"/>
              <w:contextualSpacing/>
              <w:rPr>
                <w:b/>
              </w:rPr>
            </w:pPr>
            <w:r>
              <w:t>P1, B1, T1</w:t>
            </w:r>
          </w:p>
        </w:tc>
        <w:tc>
          <w:tcPr>
            <w:tcW w:w="874" w:type="dxa"/>
            <w:tcBorders>
              <w:left w:val="nil"/>
              <w:right w:val="nil"/>
            </w:tcBorders>
          </w:tcPr>
          <w:p w14:paraId="25F8CBA6" w14:textId="77777777" w:rsidR="00554F17" w:rsidRDefault="00554F17">
            <w:pPr>
              <w:spacing w:line="360" w:lineRule="auto"/>
              <w:contextualSpacing/>
            </w:pPr>
          </w:p>
        </w:tc>
        <w:tc>
          <w:tcPr>
            <w:tcW w:w="3622" w:type="dxa"/>
            <w:tcBorders>
              <w:left w:val="nil"/>
              <w:right w:val="nil"/>
            </w:tcBorders>
          </w:tcPr>
          <w:p w14:paraId="54A96284" w14:textId="65A9EE14" w:rsidR="00554F17" w:rsidRDefault="00554F17">
            <w:pPr>
              <w:spacing w:line="360" w:lineRule="auto"/>
              <w:contextualSpacing/>
            </w:pPr>
            <w:r>
              <w:t>Pre-pubertal</w:t>
            </w:r>
          </w:p>
        </w:tc>
      </w:tr>
      <w:tr w:rsidR="00554F17" w14:paraId="2104B1F3" w14:textId="77777777" w:rsidTr="00520EE2">
        <w:trPr>
          <w:trHeight w:val="70"/>
        </w:trPr>
        <w:tc>
          <w:tcPr>
            <w:tcW w:w="870" w:type="dxa"/>
            <w:tcBorders>
              <w:left w:val="nil"/>
              <w:right w:val="nil"/>
            </w:tcBorders>
          </w:tcPr>
          <w:p w14:paraId="32E7F160" w14:textId="77777777" w:rsidR="00554F17" w:rsidRDefault="00554F17">
            <w:pPr>
              <w:spacing w:line="360" w:lineRule="auto"/>
              <w:contextualSpacing/>
            </w:pPr>
          </w:p>
        </w:tc>
        <w:tc>
          <w:tcPr>
            <w:tcW w:w="3650" w:type="dxa"/>
            <w:tcBorders>
              <w:left w:val="nil"/>
              <w:right w:val="nil"/>
            </w:tcBorders>
          </w:tcPr>
          <w:p w14:paraId="0723C8E5" w14:textId="61619E11" w:rsidR="00554F17" w:rsidRPr="00321DAA" w:rsidRDefault="00554F17">
            <w:pPr>
              <w:spacing w:line="360" w:lineRule="auto"/>
              <w:contextualSpacing/>
              <w:rPr>
                <w:b/>
              </w:rPr>
            </w:pPr>
            <w:r>
              <w:t>P2–P</w:t>
            </w:r>
            <w:r w:rsidR="00026D38">
              <w:t>4</w:t>
            </w:r>
            <w:r>
              <w:t>, B2–B</w:t>
            </w:r>
            <w:r w:rsidR="00026D38">
              <w:t>4</w:t>
            </w:r>
            <w:r>
              <w:t>, T2–T</w:t>
            </w:r>
            <w:r w:rsidR="00026D38">
              <w:t>4</w:t>
            </w:r>
          </w:p>
        </w:tc>
        <w:tc>
          <w:tcPr>
            <w:tcW w:w="874" w:type="dxa"/>
            <w:tcBorders>
              <w:left w:val="nil"/>
              <w:right w:val="nil"/>
            </w:tcBorders>
          </w:tcPr>
          <w:p w14:paraId="02DEA494" w14:textId="77777777" w:rsidR="00554F17" w:rsidRDefault="00554F17">
            <w:pPr>
              <w:spacing w:line="360" w:lineRule="auto"/>
              <w:contextualSpacing/>
            </w:pPr>
          </w:p>
        </w:tc>
        <w:tc>
          <w:tcPr>
            <w:tcW w:w="3622" w:type="dxa"/>
            <w:tcBorders>
              <w:left w:val="nil"/>
              <w:right w:val="nil"/>
            </w:tcBorders>
          </w:tcPr>
          <w:p w14:paraId="325C7BC3" w14:textId="1F85E797" w:rsidR="00554F17" w:rsidRDefault="00554F17">
            <w:pPr>
              <w:spacing w:line="360" w:lineRule="auto"/>
              <w:contextualSpacing/>
            </w:pPr>
            <w:r>
              <w:t>Adolescent</w:t>
            </w:r>
          </w:p>
        </w:tc>
      </w:tr>
      <w:tr w:rsidR="00150C4C" w14:paraId="63EFE51F" w14:textId="77777777" w:rsidTr="00D245B9">
        <w:trPr>
          <w:trHeight w:val="70"/>
        </w:trPr>
        <w:tc>
          <w:tcPr>
            <w:tcW w:w="870" w:type="dxa"/>
            <w:tcBorders>
              <w:left w:val="nil"/>
              <w:right w:val="nil"/>
            </w:tcBorders>
          </w:tcPr>
          <w:p w14:paraId="17A07268" w14:textId="77777777" w:rsidR="00150C4C" w:rsidRDefault="00150C4C">
            <w:pPr>
              <w:spacing w:line="360" w:lineRule="auto"/>
              <w:contextualSpacing/>
            </w:pPr>
          </w:p>
        </w:tc>
        <w:tc>
          <w:tcPr>
            <w:tcW w:w="3650" w:type="dxa"/>
            <w:tcBorders>
              <w:left w:val="nil"/>
              <w:right w:val="nil"/>
            </w:tcBorders>
          </w:tcPr>
          <w:p w14:paraId="0151B270" w14:textId="1EB15316" w:rsidR="00150C4C" w:rsidRDefault="00026D38">
            <w:pPr>
              <w:spacing w:line="360" w:lineRule="auto"/>
              <w:contextualSpacing/>
            </w:pPr>
            <w:r>
              <w:t>P5, B5, T5</w:t>
            </w:r>
          </w:p>
        </w:tc>
        <w:tc>
          <w:tcPr>
            <w:tcW w:w="874" w:type="dxa"/>
            <w:tcBorders>
              <w:left w:val="nil"/>
              <w:right w:val="nil"/>
            </w:tcBorders>
          </w:tcPr>
          <w:p w14:paraId="36371E12" w14:textId="77777777" w:rsidR="00150C4C" w:rsidRDefault="00150C4C">
            <w:pPr>
              <w:spacing w:line="360" w:lineRule="auto"/>
              <w:contextualSpacing/>
            </w:pPr>
          </w:p>
        </w:tc>
        <w:tc>
          <w:tcPr>
            <w:tcW w:w="3622" w:type="dxa"/>
            <w:tcBorders>
              <w:left w:val="nil"/>
              <w:right w:val="nil"/>
            </w:tcBorders>
          </w:tcPr>
          <w:p w14:paraId="7B8978E5" w14:textId="04E3211F" w:rsidR="00150C4C" w:rsidRDefault="00026D38">
            <w:pPr>
              <w:spacing w:line="360" w:lineRule="auto"/>
              <w:contextualSpacing/>
            </w:pPr>
            <w:r>
              <w:t>Adult</w:t>
            </w:r>
          </w:p>
        </w:tc>
      </w:tr>
    </w:tbl>
    <w:p w14:paraId="29B729E7" w14:textId="12487F47" w:rsidR="007D2DEA" w:rsidRDefault="007D2DEA" w:rsidP="007D2DEA">
      <w:r>
        <w:lastRenderedPageBreak/>
        <w:t xml:space="preserve">Categorization was straightforward if B or T was equal to P. In case of discordance, the lower score prevailed </w:t>
      </w:r>
      <w:r w:rsidR="00E74C59">
        <w:t>(</w:t>
      </w:r>
      <w:r>
        <w:t xml:space="preserve">e.g. P=1 and B/T = 2 or vice versa was </w:t>
      </w:r>
      <w:r w:rsidR="00E74C59">
        <w:t xml:space="preserve">classified as </w:t>
      </w:r>
      <w:r>
        <w:t>prepubertal</w:t>
      </w:r>
      <w:r w:rsidR="00E74C59">
        <w:t>;</w:t>
      </w:r>
      <w:r>
        <w:t xml:space="preserve"> P=5 and B/T = 4 or vice versa </w:t>
      </w:r>
      <w:r w:rsidR="006F0B71">
        <w:t xml:space="preserve">was classified as </w:t>
      </w:r>
      <w:r>
        <w:t>adolescent</w:t>
      </w:r>
      <w:r w:rsidR="006F0B71">
        <w:t>)</w:t>
      </w:r>
      <w:r>
        <w:t>.</w:t>
      </w:r>
    </w:p>
    <w:p w14:paraId="273403CB" w14:textId="003574B0" w:rsidR="007223F8" w:rsidRDefault="007223F8" w:rsidP="007D2DEA">
      <w:r>
        <w:t>B, breasts; P, pubic hair; T, testes</w:t>
      </w:r>
    </w:p>
    <w:p w14:paraId="36C56182" w14:textId="76928466" w:rsidR="007223F8" w:rsidRDefault="007223F8" w:rsidP="007D2DEA">
      <w:pPr>
        <w:rPr>
          <w:rFonts w:ascii="Calibri" w:hAnsi="Calibri" w:cs="Calibri"/>
          <w:sz w:val="22"/>
          <w:szCs w:val="22"/>
        </w:rPr>
      </w:pPr>
    </w:p>
    <w:p w14:paraId="72CF521D" w14:textId="77777777" w:rsidR="007D2DEA" w:rsidRDefault="007D2DEA" w:rsidP="007D2DEA"/>
    <w:p w14:paraId="1D84336D" w14:textId="77777777" w:rsidR="00B923C5" w:rsidRPr="00014D61" w:rsidRDefault="00B923C5" w:rsidP="007C4A41">
      <w:pPr>
        <w:spacing w:line="360" w:lineRule="auto"/>
        <w:contextualSpacing/>
      </w:pPr>
    </w:p>
    <w:p w14:paraId="056C6D37" w14:textId="77777777" w:rsidR="00015B4D" w:rsidRDefault="00015B4D" w:rsidP="00015B4D">
      <w:pPr>
        <w:spacing w:line="360" w:lineRule="auto"/>
        <w:rPr>
          <w:rFonts w:eastAsiaTheme="majorEastAsia" w:cstheme="majorBidi"/>
          <w:b/>
        </w:rPr>
      </w:pPr>
      <w:r>
        <w:br w:type="page"/>
      </w:r>
    </w:p>
    <w:p w14:paraId="2BA67780" w14:textId="13548826" w:rsidR="00015B4D" w:rsidRPr="00BB429B" w:rsidRDefault="00015B4D" w:rsidP="00015B4D">
      <w:pPr>
        <w:pStyle w:val="Heading3"/>
        <w:spacing w:line="360" w:lineRule="auto"/>
      </w:pPr>
      <w:r w:rsidRPr="00BB429B">
        <w:lastRenderedPageBreak/>
        <w:t xml:space="preserve">Supplementary Table </w:t>
      </w:r>
      <w:r w:rsidR="00B923C5">
        <w:t>3</w:t>
      </w:r>
      <w:r w:rsidRPr="00BB429B">
        <w:t xml:space="preserve">. Efficacy outcomes in the 12-month </w:t>
      </w:r>
      <w:r>
        <w:t>randomized</w:t>
      </w:r>
      <w:r w:rsidRPr="00BB429B">
        <w:t xml:space="preserve"> period (6-month </w:t>
      </w:r>
      <w:r>
        <w:t>randomized</w:t>
      </w:r>
      <w:r w:rsidRPr="00BB429B">
        <w:t xml:space="preserve"> period and 6-month extension period) (ITT population)</w:t>
      </w:r>
    </w:p>
    <w:tbl>
      <w:tblPr>
        <w:tblW w:w="87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2552"/>
        <w:gridCol w:w="2693"/>
      </w:tblGrid>
      <w:tr w:rsidR="00015B4D" w:rsidRPr="00BB429B" w14:paraId="46DCB698" w14:textId="77777777" w:rsidTr="00336BB5">
        <w:trPr>
          <w:trHeight w:val="158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33CE6" w14:textId="77777777" w:rsidR="00015B4D" w:rsidRPr="00BB429B" w:rsidRDefault="00015B4D" w:rsidP="002C201A">
            <w:pPr>
              <w:spacing w:line="360" w:lineRule="auto"/>
            </w:pPr>
            <w:r w:rsidRPr="00BB429B">
              <w:t xml:space="preserve">Efficacy outcomes at Week 52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49D1496" w14:textId="7E862560" w:rsidR="00015B4D" w:rsidRPr="00BB429B" w:rsidRDefault="00015B4D" w:rsidP="00336BB5">
            <w:pPr>
              <w:spacing w:line="360" w:lineRule="auto"/>
            </w:pPr>
            <w:r w:rsidRPr="00BB429B">
              <w:t>Gla-300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7ADEFFE" w14:textId="7B54DD24" w:rsidR="00015B4D" w:rsidRPr="00BB429B" w:rsidRDefault="00015B4D" w:rsidP="00336BB5">
            <w:pPr>
              <w:spacing w:line="360" w:lineRule="auto"/>
            </w:pPr>
            <w:r w:rsidRPr="00BB429B">
              <w:t>Gla-100</w:t>
            </w:r>
          </w:p>
        </w:tc>
      </w:tr>
      <w:tr w:rsidR="00336BB5" w:rsidRPr="00BB429B" w14:paraId="1A12C3BF" w14:textId="77777777" w:rsidTr="00336BB5">
        <w:trPr>
          <w:trHeight w:val="80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1708D" w14:textId="77777777" w:rsidR="00336BB5" w:rsidRPr="00BB429B" w:rsidRDefault="00336BB5" w:rsidP="002C201A">
            <w:pPr>
              <w:spacing w:line="360" w:lineRule="auto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E87A093" w14:textId="3206A756" w:rsidR="00336BB5" w:rsidRPr="00BB429B" w:rsidRDefault="00336BB5" w:rsidP="002C201A">
            <w:pPr>
              <w:spacing w:line="360" w:lineRule="auto"/>
            </w:pPr>
            <w:r w:rsidRPr="00BB429B">
              <w:t>(N=233)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427E897" w14:textId="4BA1F67B" w:rsidR="00336BB5" w:rsidRPr="00BB429B" w:rsidRDefault="00336BB5" w:rsidP="002C201A">
            <w:pPr>
              <w:spacing w:line="360" w:lineRule="auto"/>
            </w:pPr>
            <w:r w:rsidRPr="00BB429B">
              <w:t>(N=230)</w:t>
            </w:r>
          </w:p>
        </w:tc>
      </w:tr>
      <w:tr w:rsidR="00015B4D" w:rsidRPr="00BB429B" w14:paraId="74182D45" w14:textId="77777777" w:rsidTr="002C201A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5BE76" w14:textId="77777777" w:rsidR="00015B4D" w:rsidRPr="00BB429B" w:rsidRDefault="00015B4D" w:rsidP="002C201A">
            <w:pPr>
              <w:spacing w:line="360" w:lineRule="auto"/>
            </w:pPr>
            <w:r w:rsidRPr="00BB429B">
              <w:t>HbA</w:t>
            </w:r>
            <w:r w:rsidRPr="00BB429B">
              <w:rPr>
                <w:vertAlign w:val="subscript"/>
              </w:rPr>
              <w:t>1c</w:t>
            </w:r>
            <w:r w:rsidRPr="00BB429B">
              <w:t>, %</w:t>
            </w:r>
            <w:r w:rsidRPr="00BB429B">
              <w:rPr>
                <w:vertAlign w:val="sub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0787528" w14:textId="77777777" w:rsidR="00015B4D" w:rsidRPr="00BB429B" w:rsidRDefault="00015B4D" w:rsidP="002C201A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8335387" w14:textId="77777777" w:rsidR="00015B4D" w:rsidRPr="00BB429B" w:rsidRDefault="00015B4D" w:rsidP="002C201A">
            <w:pPr>
              <w:spacing w:line="360" w:lineRule="auto"/>
            </w:pPr>
          </w:p>
        </w:tc>
      </w:tr>
      <w:tr w:rsidR="00015B4D" w:rsidRPr="00BB429B" w14:paraId="27377D4B" w14:textId="77777777" w:rsidTr="002C201A"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D97FE" w14:textId="77777777" w:rsidR="00015B4D" w:rsidRPr="00BB429B" w:rsidRDefault="00015B4D" w:rsidP="002C201A">
            <w:pPr>
              <w:spacing w:line="360" w:lineRule="auto"/>
            </w:pPr>
            <w:r w:rsidRPr="00BB429B">
              <w:t>Mean (SD)</w:t>
            </w:r>
          </w:p>
        </w:tc>
        <w:tc>
          <w:tcPr>
            <w:tcW w:w="2552" w:type="dxa"/>
          </w:tcPr>
          <w:p w14:paraId="790CC2B6" w14:textId="77777777" w:rsidR="00015B4D" w:rsidRPr="00BB429B" w:rsidRDefault="00015B4D" w:rsidP="002C201A">
            <w:pPr>
              <w:spacing w:line="360" w:lineRule="auto"/>
            </w:pPr>
            <w:r w:rsidRPr="00BB429B">
              <w:t>8.61 (1.53)</w:t>
            </w:r>
          </w:p>
        </w:tc>
        <w:tc>
          <w:tcPr>
            <w:tcW w:w="2693" w:type="dxa"/>
          </w:tcPr>
          <w:p w14:paraId="7996BF58" w14:textId="77777777" w:rsidR="00015B4D" w:rsidRPr="00BB429B" w:rsidRDefault="00015B4D" w:rsidP="002C201A">
            <w:pPr>
              <w:spacing w:line="360" w:lineRule="auto"/>
            </w:pPr>
            <w:r w:rsidRPr="00BB429B">
              <w:t>8.63 (1.31)</w:t>
            </w:r>
          </w:p>
        </w:tc>
      </w:tr>
      <w:tr w:rsidR="00015B4D" w:rsidRPr="00BB429B" w14:paraId="1040D214" w14:textId="77777777" w:rsidTr="002C201A"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E767F" w14:textId="77777777" w:rsidR="00015B4D" w:rsidRPr="00BB429B" w:rsidRDefault="00015B4D" w:rsidP="002C201A">
            <w:pPr>
              <w:spacing w:line="360" w:lineRule="auto"/>
            </w:pPr>
            <w:r w:rsidRPr="00BB429B">
              <w:t>LS mean change (SE)</w:t>
            </w:r>
          </w:p>
        </w:tc>
        <w:tc>
          <w:tcPr>
            <w:tcW w:w="2552" w:type="dxa"/>
          </w:tcPr>
          <w:p w14:paraId="09A4AE39" w14:textId="77777777" w:rsidR="00015B4D" w:rsidRPr="00BB429B" w:rsidRDefault="00015B4D" w:rsidP="002C201A">
            <w:pPr>
              <w:spacing w:line="360" w:lineRule="auto"/>
            </w:pPr>
            <w:r>
              <w:t>−</w:t>
            </w:r>
            <w:r w:rsidRPr="00BB429B">
              <w:t>0.051 (0.085)</w:t>
            </w:r>
          </w:p>
        </w:tc>
        <w:tc>
          <w:tcPr>
            <w:tcW w:w="2693" w:type="dxa"/>
          </w:tcPr>
          <w:p w14:paraId="0DBC6A25" w14:textId="77777777" w:rsidR="00015B4D" w:rsidRPr="00BB429B" w:rsidRDefault="00015B4D" w:rsidP="002C201A">
            <w:pPr>
              <w:spacing w:line="360" w:lineRule="auto"/>
            </w:pPr>
            <w:r w:rsidRPr="00BB429B">
              <w:t>0.022 (0.083)</w:t>
            </w:r>
          </w:p>
        </w:tc>
      </w:tr>
      <w:tr w:rsidR="00015B4D" w:rsidRPr="00BB429B" w14:paraId="371D56A0" w14:textId="77777777" w:rsidTr="002C201A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80B6E" w14:textId="77777777" w:rsidR="00015B4D" w:rsidRPr="00BB429B" w:rsidRDefault="00015B4D" w:rsidP="002C201A">
            <w:pPr>
              <w:spacing w:line="360" w:lineRule="auto"/>
            </w:pPr>
            <w:r w:rsidRPr="00BB429B">
              <w:t>LS mean difference (95% CI)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126B3D5A" w14:textId="77777777" w:rsidR="00015B4D" w:rsidRPr="00BB429B" w:rsidRDefault="00015B4D" w:rsidP="002C201A">
            <w:pPr>
              <w:spacing w:line="360" w:lineRule="auto"/>
            </w:pPr>
            <w:r>
              <w:t>−</w:t>
            </w:r>
            <w:r w:rsidRPr="00BB429B">
              <w:t>0.073 (</w:t>
            </w:r>
            <w:r>
              <w:t>−</w:t>
            </w:r>
            <w:r w:rsidRPr="00BB429B">
              <w:t>0.306</w:t>
            </w:r>
            <w:r>
              <w:t xml:space="preserve"> to </w:t>
            </w:r>
            <w:r w:rsidRPr="00BB429B">
              <w:t>0.160)</w:t>
            </w:r>
          </w:p>
        </w:tc>
      </w:tr>
    </w:tbl>
    <w:p w14:paraId="7B91030D" w14:textId="77777777" w:rsidR="00015B4D" w:rsidRDefault="00015B4D" w:rsidP="00015B4D">
      <w:pPr>
        <w:spacing w:line="360" w:lineRule="auto"/>
      </w:pPr>
      <w:r>
        <w:t>The 12-month randomized period is defined as the time from the randomization date to the study end, regardless of treatment discontinuation.</w:t>
      </w:r>
      <w:r w:rsidRPr="00426036">
        <w:t xml:space="preserve"> </w:t>
      </w:r>
    </w:p>
    <w:p w14:paraId="052EFC24" w14:textId="77777777" w:rsidR="00015B4D" w:rsidRPr="00BB429B" w:rsidRDefault="00015B4D" w:rsidP="00015B4D">
      <w:pPr>
        <w:spacing w:line="360" w:lineRule="auto"/>
      </w:pPr>
      <w:r w:rsidRPr="00BB429B">
        <w:t>CI, confidence interval; SD, standard deviation; SE, standard error</w:t>
      </w:r>
    </w:p>
    <w:p w14:paraId="768BB2A3" w14:textId="77777777" w:rsidR="00015B4D" w:rsidRDefault="00015B4D" w:rsidP="00015B4D">
      <w:pPr>
        <w:spacing w:line="360" w:lineRule="auto"/>
      </w:pPr>
      <w:r>
        <w:br w:type="page"/>
      </w:r>
    </w:p>
    <w:p w14:paraId="685114F1" w14:textId="77777777" w:rsidR="00015B4D" w:rsidRDefault="00015B4D" w:rsidP="00015B4D">
      <w:pPr>
        <w:pStyle w:val="Heading3"/>
        <w:spacing w:line="360" w:lineRule="auto"/>
        <w:sectPr w:rsidR="00015B4D" w:rsidSect="000A3D8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99D59F7" w14:textId="39547749" w:rsidR="00015B4D" w:rsidRPr="00BB429B" w:rsidRDefault="00015B4D" w:rsidP="00015B4D">
      <w:pPr>
        <w:pStyle w:val="Heading3"/>
        <w:spacing w:line="360" w:lineRule="auto"/>
      </w:pPr>
      <w:r w:rsidRPr="00BB429B">
        <w:lastRenderedPageBreak/>
        <w:t xml:space="preserve">Supplementary Table </w:t>
      </w:r>
      <w:r w:rsidR="00B923C5">
        <w:t>4</w:t>
      </w:r>
      <w:r w:rsidRPr="00BB429B">
        <w:t>. Safety outcomes in the 12-month study period (6-month treatment period and 6-month safety extension period) (</w:t>
      </w:r>
      <w:r>
        <w:t>s</w:t>
      </w:r>
      <w:r w:rsidRPr="00BB429B">
        <w:t>afety population)</w:t>
      </w:r>
    </w:p>
    <w:tbl>
      <w:tblPr>
        <w:tblW w:w="5316" w:type="pct"/>
        <w:tblInd w:w="-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4"/>
        <w:gridCol w:w="1442"/>
        <w:gridCol w:w="12"/>
        <w:gridCol w:w="1211"/>
        <w:gridCol w:w="1319"/>
        <w:gridCol w:w="20"/>
        <w:gridCol w:w="247"/>
        <w:gridCol w:w="1701"/>
      </w:tblGrid>
      <w:tr w:rsidR="00015B4D" w:rsidRPr="0009784E" w14:paraId="02080E21" w14:textId="77777777" w:rsidTr="00FF2B87">
        <w:tc>
          <w:tcPr>
            <w:tcW w:w="3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1083B" w14:textId="088CD24B" w:rsidR="00015B4D" w:rsidRPr="00EE6B8B" w:rsidRDefault="00015B4D" w:rsidP="002C201A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Safety outcomes in the </w:t>
            </w:r>
          </w:p>
        </w:tc>
        <w:tc>
          <w:tcPr>
            <w:tcW w:w="2662" w:type="dxa"/>
            <w:gridSpan w:val="3"/>
          </w:tcPr>
          <w:p w14:paraId="41B1575B" w14:textId="65544E50" w:rsidR="00015B4D" w:rsidRDefault="00015B4D" w:rsidP="00FF2B87">
            <w:pPr>
              <w:spacing w:after="0" w:line="240" w:lineRule="auto"/>
              <w:contextualSpacing/>
              <w:jc w:val="center"/>
              <w:rPr>
                <w:rFonts w:eastAsia="TimesNewRoman" w:cstheme="minorHAnsi"/>
              </w:rPr>
            </w:pPr>
            <w:r>
              <w:rPr>
                <w:rFonts w:cstheme="minorHAnsi"/>
                <w:b/>
              </w:rPr>
              <w:t>Incidence: n (%)</w:t>
            </w:r>
          </w:p>
        </w:tc>
        <w:tc>
          <w:tcPr>
            <w:tcW w:w="3284" w:type="dxa"/>
            <w:gridSpan w:val="4"/>
          </w:tcPr>
          <w:p w14:paraId="4EC54C2C" w14:textId="12B5D90C" w:rsidR="00015B4D" w:rsidRDefault="00015B4D" w:rsidP="00FF2B87">
            <w:pPr>
              <w:spacing w:after="0" w:line="240" w:lineRule="auto"/>
              <w:contextualSpacing/>
              <w:jc w:val="center"/>
              <w:rPr>
                <w:rFonts w:eastAsia="TimesNewRoman" w:cstheme="minorHAnsi"/>
              </w:rPr>
            </w:pPr>
            <w:r>
              <w:rPr>
                <w:rFonts w:cstheme="minorHAnsi"/>
                <w:b/>
              </w:rPr>
              <w:t>Event rates: E (R),</w:t>
            </w:r>
          </w:p>
        </w:tc>
      </w:tr>
      <w:tr w:rsidR="00FF2B87" w:rsidRPr="0009784E" w14:paraId="76D3BF78" w14:textId="77777777" w:rsidTr="00FF2B87">
        <w:tc>
          <w:tcPr>
            <w:tcW w:w="3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E9630" w14:textId="1D6C3A0D" w:rsidR="00FF2B87" w:rsidRDefault="00FF2B87" w:rsidP="002C201A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12-month TEAE period*</w:t>
            </w:r>
          </w:p>
        </w:tc>
        <w:tc>
          <w:tcPr>
            <w:tcW w:w="2662" w:type="dxa"/>
            <w:gridSpan w:val="3"/>
            <w:tcBorders>
              <w:bottom w:val="single" w:sz="4" w:space="0" w:color="000000"/>
            </w:tcBorders>
          </w:tcPr>
          <w:p w14:paraId="6DA49BEE" w14:textId="10ADB1CB" w:rsidR="00FF2B87" w:rsidRDefault="00FF2B87" w:rsidP="002C201A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Relative risk (95% CI)</w:t>
            </w:r>
          </w:p>
        </w:tc>
        <w:tc>
          <w:tcPr>
            <w:tcW w:w="3284" w:type="dxa"/>
            <w:gridSpan w:val="4"/>
            <w:tcBorders>
              <w:bottom w:val="single" w:sz="4" w:space="0" w:color="000000"/>
            </w:tcBorders>
          </w:tcPr>
          <w:p w14:paraId="5EFEFA43" w14:textId="795A46CB" w:rsidR="00FF2B87" w:rsidRDefault="00FF2B87" w:rsidP="002C201A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Rate ratio (95% CI)</w:t>
            </w:r>
          </w:p>
        </w:tc>
      </w:tr>
      <w:tr w:rsidR="00015B4D" w:rsidRPr="0009784E" w14:paraId="44EC8D93" w14:textId="77777777" w:rsidTr="00FF2B87">
        <w:tc>
          <w:tcPr>
            <w:tcW w:w="3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2A8CF" w14:textId="77777777" w:rsidR="00015B4D" w:rsidRPr="00741C4A" w:rsidRDefault="00015B4D" w:rsidP="002C201A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</w:tcBorders>
          </w:tcPr>
          <w:p w14:paraId="013CB088" w14:textId="41C8EAED" w:rsidR="00015B4D" w:rsidRPr="00A40953" w:rsidRDefault="00015B4D" w:rsidP="00FF2B87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Gla-300</w:t>
            </w:r>
          </w:p>
        </w:tc>
        <w:tc>
          <w:tcPr>
            <w:tcW w:w="1210" w:type="dxa"/>
            <w:tcBorders>
              <w:top w:val="single" w:sz="4" w:space="0" w:color="000000"/>
            </w:tcBorders>
          </w:tcPr>
          <w:p w14:paraId="104CF6C0" w14:textId="4589357E" w:rsidR="00015B4D" w:rsidRPr="00A40953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Gla-100 </w:t>
            </w:r>
          </w:p>
        </w:tc>
        <w:tc>
          <w:tcPr>
            <w:tcW w:w="1585" w:type="dxa"/>
            <w:gridSpan w:val="3"/>
            <w:tcBorders>
              <w:top w:val="single" w:sz="4" w:space="0" w:color="000000"/>
            </w:tcBorders>
          </w:tcPr>
          <w:p w14:paraId="4CE4822F" w14:textId="43B89316" w:rsidR="00015B4D" w:rsidRPr="00A40953" w:rsidRDefault="00015B4D" w:rsidP="00FF2B87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Gla-300</w:t>
            </w:r>
          </w:p>
        </w:tc>
        <w:tc>
          <w:tcPr>
            <w:tcW w:w="1699" w:type="dxa"/>
            <w:tcBorders>
              <w:top w:val="single" w:sz="4" w:space="0" w:color="000000"/>
            </w:tcBorders>
          </w:tcPr>
          <w:p w14:paraId="7899F22C" w14:textId="7F3C348A" w:rsidR="00015B4D" w:rsidRPr="00A40953" w:rsidRDefault="00015B4D" w:rsidP="00FF2B87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Gla-100 </w:t>
            </w:r>
          </w:p>
        </w:tc>
      </w:tr>
      <w:tr w:rsidR="00FF2B87" w:rsidRPr="0009784E" w14:paraId="6A670320" w14:textId="77777777" w:rsidTr="00FF2B87">
        <w:tc>
          <w:tcPr>
            <w:tcW w:w="3640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423ED" w14:textId="77777777" w:rsidR="00FF2B87" w:rsidRPr="00EE6B8B" w:rsidRDefault="00FF2B87" w:rsidP="00FF2B87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452" w:type="dxa"/>
            <w:gridSpan w:val="2"/>
            <w:tcBorders>
              <w:bottom w:val="single" w:sz="12" w:space="0" w:color="000000"/>
            </w:tcBorders>
          </w:tcPr>
          <w:p w14:paraId="49B31370" w14:textId="19E9BE50" w:rsidR="00FF2B87" w:rsidRDefault="00FF2B87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(N=233)</w:t>
            </w:r>
          </w:p>
        </w:tc>
        <w:tc>
          <w:tcPr>
            <w:tcW w:w="1210" w:type="dxa"/>
            <w:tcBorders>
              <w:bottom w:val="single" w:sz="12" w:space="0" w:color="000000"/>
            </w:tcBorders>
          </w:tcPr>
          <w:p w14:paraId="75FD8F71" w14:textId="3BD5ED67" w:rsidR="00FF2B87" w:rsidRDefault="00FF2B87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(N=228)</w:t>
            </w:r>
          </w:p>
        </w:tc>
        <w:tc>
          <w:tcPr>
            <w:tcW w:w="1585" w:type="dxa"/>
            <w:gridSpan w:val="3"/>
            <w:tcBorders>
              <w:bottom w:val="single" w:sz="12" w:space="0" w:color="000000"/>
            </w:tcBorders>
          </w:tcPr>
          <w:p w14:paraId="1B74E780" w14:textId="6B3FEDF7" w:rsidR="00FF2B87" w:rsidRDefault="00FF2B87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(N=233)</w:t>
            </w:r>
          </w:p>
        </w:tc>
        <w:tc>
          <w:tcPr>
            <w:tcW w:w="1699" w:type="dxa"/>
            <w:tcBorders>
              <w:bottom w:val="single" w:sz="12" w:space="0" w:color="000000"/>
            </w:tcBorders>
          </w:tcPr>
          <w:p w14:paraId="6EE1E04E" w14:textId="0EF44C19" w:rsidR="00FF2B87" w:rsidRDefault="00FF2B87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(N=228)</w:t>
            </w:r>
          </w:p>
        </w:tc>
      </w:tr>
      <w:tr w:rsidR="00015B4D" w:rsidRPr="0009784E" w14:paraId="51E717CF" w14:textId="77777777" w:rsidTr="00FF2B87">
        <w:tc>
          <w:tcPr>
            <w:tcW w:w="3640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5F3D1" w14:textId="1D2C8383" w:rsidR="00015B4D" w:rsidRPr="00BE46E8" w:rsidRDefault="00015B4D" w:rsidP="00FF2B87">
            <w:pPr>
              <w:spacing w:after="0" w:line="240" w:lineRule="auto"/>
              <w:contextualSpacing/>
            </w:pPr>
            <w:r w:rsidRPr="00EE6B8B">
              <w:rPr>
                <w:rFonts w:cstheme="minorHAnsi"/>
                <w:b/>
              </w:rPr>
              <w:t>Hypoglycemia</w:t>
            </w:r>
          </w:p>
        </w:tc>
        <w:tc>
          <w:tcPr>
            <w:tcW w:w="1452" w:type="dxa"/>
            <w:gridSpan w:val="2"/>
            <w:tcBorders>
              <w:top w:val="single" w:sz="12" w:space="0" w:color="000000"/>
            </w:tcBorders>
          </w:tcPr>
          <w:p w14:paraId="65A74F3F" w14:textId="77777777" w:rsidR="00015B4D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10" w:type="dxa"/>
            <w:tcBorders>
              <w:top w:val="single" w:sz="12" w:space="0" w:color="000000"/>
            </w:tcBorders>
          </w:tcPr>
          <w:p w14:paraId="5E98182D" w14:textId="77777777" w:rsidR="00015B4D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585" w:type="dxa"/>
            <w:gridSpan w:val="3"/>
            <w:tcBorders>
              <w:top w:val="single" w:sz="12" w:space="0" w:color="000000"/>
            </w:tcBorders>
          </w:tcPr>
          <w:p w14:paraId="0BE44C98" w14:textId="77777777" w:rsidR="00015B4D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99" w:type="dxa"/>
            <w:tcBorders>
              <w:top w:val="single" w:sz="12" w:space="0" w:color="000000"/>
            </w:tcBorders>
          </w:tcPr>
          <w:p w14:paraId="505B1951" w14:textId="77777777" w:rsidR="00015B4D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015B4D" w:rsidRPr="0009784E" w14:paraId="190FA55F" w14:textId="77777777" w:rsidTr="00FF2B87">
        <w:trPr>
          <w:trHeight w:val="642"/>
        </w:trPr>
        <w:tc>
          <w:tcPr>
            <w:tcW w:w="3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4B42D" w14:textId="4FBE03AB" w:rsidR="00015B4D" w:rsidRPr="00741C4A" w:rsidRDefault="00015B4D" w:rsidP="00FF2B87">
            <w:pPr>
              <w:spacing w:after="0" w:line="240" w:lineRule="auto"/>
              <w:contextualSpacing/>
              <w:rPr>
                <w:rFonts w:cstheme="minorHAnsi"/>
              </w:rPr>
            </w:pPr>
            <w:r w:rsidRPr="00C56A52">
              <w:rPr>
                <w:rFonts w:cstheme="minorHAnsi"/>
              </w:rPr>
              <w:t>Anytime (24 h) documented (≤70 mg/dL [≤3.9 mmol/L]) or severe</w:t>
            </w:r>
          </w:p>
        </w:tc>
        <w:tc>
          <w:tcPr>
            <w:tcW w:w="1452" w:type="dxa"/>
            <w:gridSpan w:val="2"/>
          </w:tcPr>
          <w:p w14:paraId="2810E5EF" w14:textId="77777777" w:rsidR="00015B4D" w:rsidRPr="004117BB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4117BB">
              <w:rPr>
                <w:rFonts w:cstheme="minorHAnsi"/>
              </w:rPr>
              <w:t>231 (99.1)</w:t>
            </w:r>
          </w:p>
        </w:tc>
        <w:tc>
          <w:tcPr>
            <w:tcW w:w="1210" w:type="dxa"/>
          </w:tcPr>
          <w:p w14:paraId="2B51D585" w14:textId="77777777" w:rsidR="00015B4D" w:rsidRPr="004117BB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4117BB">
              <w:rPr>
                <w:rFonts w:cstheme="minorHAnsi"/>
              </w:rPr>
              <w:t>224 (98.2)</w:t>
            </w:r>
          </w:p>
        </w:tc>
        <w:tc>
          <w:tcPr>
            <w:tcW w:w="1585" w:type="dxa"/>
            <w:gridSpan w:val="3"/>
          </w:tcPr>
          <w:p w14:paraId="7D792508" w14:textId="77777777" w:rsidR="00015B4D" w:rsidRPr="004117BB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4117BB">
              <w:rPr>
                <w:rFonts w:cstheme="minorHAnsi"/>
              </w:rPr>
              <w:t>18289 (81.70)</w:t>
            </w:r>
          </w:p>
        </w:tc>
        <w:tc>
          <w:tcPr>
            <w:tcW w:w="1699" w:type="dxa"/>
          </w:tcPr>
          <w:p w14:paraId="2B8E9C51" w14:textId="77777777" w:rsidR="00015B4D" w:rsidRPr="004117BB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4117BB">
              <w:rPr>
                <w:rFonts w:cstheme="minorHAnsi"/>
              </w:rPr>
              <w:t>17268 (79.63)</w:t>
            </w:r>
          </w:p>
        </w:tc>
      </w:tr>
      <w:tr w:rsidR="00015B4D" w:rsidRPr="0009784E" w14:paraId="350C1C07" w14:textId="77777777" w:rsidTr="00FF2B87">
        <w:tc>
          <w:tcPr>
            <w:tcW w:w="36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7EE1B" w14:textId="77777777" w:rsidR="00015B4D" w:rsidRPr="00C56A52" w:rsidRDefault="00015B4D" w:rsidP="002C201A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2662" w:type="dxa"/>
            <w:gridSpan w:val="3"/>
            <w:tcBorders>
              <w:bottom w:val="single" w:sz="4" w:space="0" w:color="000000"/>
            </w:tcBorders>
          </w:tcPr>
          <w:p w14:paraId="4A8624F3" w14:textId="77777777" w:rsidR="00015B4D" w:rsidRPr="004117BB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4117BB">
              <w:rPr>
                <w:rFonts w:cstheme="minorHAnsi"/>
              </w:rPr>
              <w:t>1.01 (0.99–1.03)</w:t>
            </w:r>
          </w:p>
        </w:tc>
        <w:tc>
          <w:tcPr>
            <w:tcW w:w="3284" w:type="dxa"/>
            <w:gridSpan w:val="4"/>
            <w:tcBorders>
              <w:bottom w:val="single" w:sz="4" w:space="0" w:color="000000"/>
            </w:tcBorders>
          </w:tcPr>
          <w:p w14:paraId="17445F63" w14:textId="77777777" w:rsidR="00015B4D" w:rsidRPr="004117BB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4117BB">
              <w:rPr>
                <w:rFonts w:cstheme="minorHAnsi"/>
              </w:rPr>
              <w:t>1.02 (0.86–1.20)</w:t>
            </w:r>
          </w:p>
        </w:tc>
      </w:tr>
      <w:tr w:rsidR="00015B4D" w:rsidRPr="0009784E" w14:paraId="3A0091AE" w14:textId="77777777" w:rsidTr="00FF2B87">
        <w:trPr>
          <w:trHeight w:val="672"/>
        </w:trPr>
        <w:tc>
          <w:tcPr>
            <w:tcW w:w="364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EC7DA" w14:textId="600A8A5B" w:rsidR="00015B4D" w:rsidRPr="00A40953" w:rsidRDefault="00015B4D" w:rsidP="00FF2B87">
            <w:pPr>
              <w:spacing w:after="0" w:line="240" w:lineRule="auto"/>
              <w:ind w:left="33" w:hanging="33"/>
              <w:contextualSpacing/>
              <w:rPr>
                <w:rFonts w:cstheme="minorHAnsi"/>
              </w:rPr>
            </w:pPr>
            <w:r w:rsidRPr="006E0397">
              <w:rPr>
                <w:rFonts w:cstheme="minorHAnsi"/>
              </w:rPr>
              <w:t>Nocturnal documented (≤70 mg/dL [≤3.9 mmol/L]) or severe (00:00–05:59 h)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</w:tcBorders>
          </w:tcPr>
          <w:p w14:paraId="0445EBFD" w14:textId="77777777" w:rsidR="00015B4D" w:rsidRPr="004117BB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4117BB">
              <w:rPr>
                <w:rFonts w:cstheme="minorHAnsi"/>
              </w:rPr>
              <w:t>193 (82.8)</w:t>
            </w:r>
          </w:p>
        </w:tc>
        <w:tc>
          <w:tcPr>
            <w:tcW w:w="1210" w:type="dxa"/>
            <w:tcBorders>
              <w:top w:val="single" w:sz="4" w:space="0" w:color="000000"/>
            </w:tcBorders>
          </w:tcPr>
          <w:p w14:paraId="097AEAB5" w14:textId="77777777" w:rsidR="00015B4D" w:rsidRPr="004117BB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4117BB">
              <w:rPr>
                <w:rFonts w:cstheme="minorHAnsi"/>
              </w:rPr>
              <w:t>176 (77.2)</w:t>
            </w:r>
          </w:p>
        </w:tc>
        <w:tc>
          <w:tcPr>
            <w:tcW w:w="1585" w:type="dxa"/>
            <w:gridSpan w:val="3"/>
            <w:tcBorders>
              <w:top w:val="single" w:sz="4" w:space="0" w:color="000000"/>
            </w:tcBorders>
          </w:tcPr>
          <w:p w14:paraId="4B8AD228" w14:textId="77777777" w:rsidR="00015B4D" w:rsidRPr="004117BB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4117BB">
              <w:rPr>
                <w:rFonts w:cstheme="minorHAnsi"/>
              </w:rPr>
              <w:t>1767 (7.89)</w:t>
            </w:r>
          </w:p>
        </w:tc>
        <w:tc>
          <w:tcPr>
            <w:tcW w:w="1699" w:type="dxa"/>
            <w:tcBorders>
              <w:top w:val="single" w:sz="4" w:space="0" w:color="000000"/>
            </w:tcBorders>
          </w:tcPr>
          <w:p w14:paraId="27AD2F69" w14:textId="77777777" w:rsidR="00015B4D" w:rsidRPr="004117BB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4117BB">
              <w:rPr>
                <w:rFonts w:cstheme="minorHAnsi"/>
              </w:rPr>
              <w:t>1481 (6.83)</w:t>
            </w:r>
          </w:p>
        </w:tc>
      </w:tr>
      <w:tr w:rsidR="00015B4D" w:rsidRPr="0009784E" w14:paraId="6EF604AC" w14:textId="77777777" w:rsidTr="00FF2B87">
        <w:tc>
          <w:tcPr>
            <w:tcW w:w="36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1A570" w14:textId="77777777" w:rsidR="00015B4D" w:rsidRPr="006E0397" w:rsidRDefault="00015B4D" w:rsidP="002C201A">
            <w:pPr>
              <w:spacing w:after="0" w:line="240" w:lineRule="auto"/>
              <w:ind w:left="33" w:hanging="33"/>
              <w:contextualSpacing/>
              <w:rPr>
                <w:rFonts w:cstheme="minorHAnsi"/>
              </w:rPr>
            </w:pPr>
          </w:p>
        </w:tc>
        <w:tc>
          <w:tcPr>
            <w:tcW w:w="2662" w:type="dxa"/>
            <w:gridSpan w:val="3"/>
            <w:tcBorders>
              <w:bottom w:val="single" w:sz="4" w:space="0" w:color="000000"/>
            </w:tcBorders>
          </w:tcPr>
          <w:p w14:paraId="6594A2BC" w14:textId="77777777" w:rsidR="00015B4D" w:rsidRPr="004117BB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4117BB">
              <w:rPr>
                <w:rFonts w:cstheme="minorHAnsi"/>
              </w:rPr>
              <w:t>1.07 (0.98–1.17)</w:t>
            </w:r>
          </w:p>
        </w:tc>
        <w:tc>
          <w:tcPr>
            <w:tcW w:w="3284" w:type="dxa"/>
            <w:gridSpan w:val="4"/>
            <w:tcBorders>
              <w:bottom w:val="single" w:sz="4" w:space="0" w:color="000000"/>
            </w:tcBorders>
          </w:tcPr>
          <w:p w14:paraId="1233F977" w14:textId="77777777" w:rsidR="00015B4D" w:rsidRPr="004117BB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4117BB">
              <w:rPr>
                <w:rFonts w:cstheme="minorHAnsi"/>
              </w:rPr>
              <w:t>1.13 (0.90–1.42)</w:t>
            </w:r>
          </w:p>
        </w:tc>
      </w:tr>
      <w:tr w:rsidR="00015B4D" w:rsidRPr="0009784E" w14:paraId="19C51E9F" w14:textId="77777777" w:rsidTr="00FF2B87">
        <w:trPr>
          <w:trHeight w:val="505"/>
        </w:trPr>
        <w:tc>
          <w:tcPr>
            <w:tcW w:w="364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E2E65" w14:textId="77777777" w:rsidR="00015B4D" w:rsidRPr="004041A9" w:rsidRDefault="00015B4D" w:rsidP="002C201A">
            <w:pPr>
              <w:spacing w:after="0" w:line="240" w:lineRule="auto"/>
              <w:contextualSpacing/>
              <w:rPr>
                <w:rFonts w:cstheme="minorHAnsi"/>
              </w:rPr>
            </w:pPr>
            <w:r w:rsidRPr="006E0397">
              <w:rPr>
                <w:rFonts w:cstheme="minorHAnsi"/>
              </w:rPr>
              <w:t>Anytime (24 h) severe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</w:tcBorders>
          </w:tcPr>
          <w:p w14:paraId="73E6D8E4" w14:textId="77777777" w:rsidR="00015B4D" w:rsidRPr="004117BB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4117BB">
              <w:rPr>
                <w:rFonts w:cstheme="minorHAnsi"/>
              </w:rPr>
              <w:t>20 (8.6)</w:t>
            </w:r>
          </w:p>
        </w:tc>
        <w:tc>
          <w:tcPr>
            <w:tcW w:w="1210" w:type="dxa"/>
            <w:tcBorders>
              <w:top w:val="single" w:sz="4" w:space="0" w:color="000000"/>
            </w:tcBorders>
          </w:tcPr>
          <w:p w14:paraId="7A1B9AEF" w14:textId="77777777" w:rsidR="00015B4D" w:rsidRPr="004117BB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4117BB">
              <w:rPr>
                <w:rFonts w:cstheme="minorHAnsi"/>
              </w:rPr>
              <w:t>25 (11.0)</w:t>
            </w:r>
          </w:p>
        </w:tc>
        <w:tc>
          <w:tcPr>
            <w:tcW w:w="1318" w:type="dxa"/>
            <w:tcBorders>
              <w:top w:val="single" w:sz="4" w:space="0" w:color="000000"/>
            </w:tcBorders>
          </w:tcPr>
          <w:p w14:paraId="1013C9A0" w14:textId="77777777" w:rsidR="00015B4D" w:rsidRPr="004117BB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4117BB">
              <w:rPr>
                <w:rFonts w:cstheme="minorHAnsi"/>
              </w:rPr>
              <w:t>36 (0.16)</w: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</w:tcBorders>
          </w:tcPr>
          <w:p w14:paraId="622AA9E8" w14:textId="77777777" w:rsidR="00015B4D" w:rsidRPr="004117BB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4117BB">
              <w:rPr>
                <w:rFonts w:cstheme="minorHAnsi"/>
              </w:rPr>
              <w:t>38 (0.18)</w:t>
            </w:r>
          </w:p>
        </w:tc>
      </w:tr>
      <w:tr w:rsidR="00015B4D" w:rsidRPr="0009784E" w14:paraId="4A62146D" w14:textId="77777777" w:rsidTr="00FF2B87">
        <w:tc>
          <w:tcPr>
            <w:tcW w:w="3640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47E79" w14:textId="77777777" w:rsidR="00015B4D" w:rsidRPr="006E0397" w:rsidRDefault="00015B4D" w:rsidP="002C201A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2662" w:type="dxa"/>
            <w:gridSpan w:val="3"/>
            <w:tcBorders>
              <w:bottom w:val="single" w:sz="12" w:space="0" w:color="000000"/>
            </w:tcBorders>
          </w:tcPr>
          <w:p w14:paraId="0AE4B117" w14:textId="77777777" w:rsidR="00015B4D" w:rsidRPr="004117BB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4117BB">
              <w:rPr>
                <w:rFonts w:cstheme="minorHAnsi"/>
              </w:rPr>
              <w:t>0.78 (0.45–1.36)</w:t>
            </w:r>
          </w:p>
        </w:tc>
        <w:tc>
          <w:tcPr>
            <w:tcW w:w="3284" w:type="dxa"/>
            <w:gridSpan w:val="4"/>
            <w:tcBorders>
              <w:bottom w:val="single" w:sz="12" w:space="0" w:color="000000"/>
            </w:tcBorders>
          </w:tcPr>
          <w:p w14:paraId="026A7DA0" w14:textId="77777777" w:rsidR="00015B4D" w:rsidRPr="004117BB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4117BB">
              <w:rPr>
                <w:rFonts w:cstheme="minorHAnsi"/>
              </w:rPr>
              <w:t>0.93 (0.47–1.87)</w:t>
            </w:r>
          </w:p>
        </w:tc>
      </w:tr>
      <w:tr w:rsidR="00015B4D" w:rsidRPr="0009784E" w14:paraId="194EDF17" w14:textId="77777777" w:rsidTr="00FF2B87">
        <w:tc>
          <w:tcPr>
            <w:tcW w:w="3640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6875F" w14:textId="77777777" w:rsidR="00015B4D" w:rsidRPr="00741C4A" w:rsidRDefault="00015B4D" w:rsidP="002C201A">
            <w:pPr>
              <w:spacing w:after="0" w:line="240" w:lineRule="auto"/>
              <w:contextualSpacing/>
              <w:rPr>
                <w:rFonts w:cstheme="minorHAnsi"/>
              </w:rPr>
            </w:pPr>
            <w:r w:rsidRPr="00EE6B8B">
              <w:rPr>
                <w:rFonts w:cstheme="minorHAnsi"/>
                <w:b/>
              </w:rPr>
              <w:t>Hy</w:t>
            </w:r>
            <w:r>
              <w:rPr>
                <w:rFonts w:cstheme="minorHAnsi"/>
                <w:b/>
              </w:rPr>
              <w:t>perglycemia with ketosis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87415F7" w14:textId="77777777" w:rsidR="00015B4D" w:rsidRPr="00A40953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222" w:type="dxa"/>
            <w:gridSpan w:val="2"/>
            <w:tcBorders>
              <w:top w:val="single" w:sz="12" w:space="0" w:color="000000"/>
            </w:tcBorders>
          </w:tcPr>
          <w:p w14:paraId="687B5F06" w14:textId="77777777" w:rsidR="00015B4D" w:rsidRPr="00A40953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318" w:type="dxa"/>
            <w:tcBorders>
              <w:top w:val="single" w:sz="12" w:space="0" w:color="000000"/>
            </w:tcBorders>
          </w:tcPr>
          <w:p w14:paraId="5FF94F28" w14:textId="77777777" w:rsidR="00015B4D" w:rsidRPr="00A40953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gridSpan w:val="3"/>
            <w:tcBorders>
              <w:top w:val="single" w:sz="12" w:space="0" w:color="000000"/>
            </w:tcBorders>
          </w:tcPr>
          <w:p w14:paraId="7A5E9389" w14:textId="77777777" w:rsidR="00015B4D" w:rsidRPr="00A40953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015B4D" w:rsidRPr="0009784E" w14:paraId="6D46599C" w14:textId="77777777" w:rsidTr="00FF2B87">
        <w:tc>
          <w:tcPr>
            <w:tcW w:w="3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6326D" w14:textId="0F6A9EC0" w:rsidR="00015B4D" w:rsidRPr="007D1DA0" w:rsidRDefault="00015B4D" w:rsidP="00FF2B87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7D1DA0">
              <w:rPr>
                <w:rFonts w:cstheme="minorHAnsi"/>
                <w:b/>
              </w:rPr>
              <w:t>Preferred Term</w:t>
            </w:r>
          </w:p>
        </w:tc>
        <w:tc>
          <w:tcPr>
            <w:tcW w:w="1440" w:type="dxa"/>
          </w:tcPr>
          <w:p w14:paraId="55B96D5E" w14:textId="77777777" w:rsidR="00015B4D" w:rsidRPr="0009784E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22" w:type="dxa"/>
            <w:gridSpan w:val="2"/>
          </w:tcPr>
          <w:p w14:paraId="45A5A3F6" w14:textId="77777777" w:rsidR="00015B4D" w:rsidRPr="0009784E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318" w:type="dxa"/>
          </w:tcPr>
          <w:p w14:paraId="7E8FF505" w14:textId="77777777" w:rsidR="00015B4D" w:rsidRPr="0009784E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966" w:type="dxa"/>
            <w:gridSpan w:val="3"/>
          </w:tcPr>
          <w:p w14:paraId="73B7CD27" w14:textId="77777777" w:rsidR="00015B4D" w:rsidRPr="0009784E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015B4D" w:rsidRPr="0009784E" w14:paraId="261AD5CA" w14:textId="77777777" w:rsidTr="00FF2B87">
        <w:tc>
          <w:tcPr>
            <w:tcW w:w="36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8AD08" w14:textId="77777777" w:rsidR="00015B4D" w:rsidRPr="00741C4A" w:rsidRDefault="00015B4D" w:rsidP="002C201A">
            <w:pPr>
              <w:spacing w:after="0" w:line="240" w:lineRule="auto"/>
              <w:contextualSpacing/>
              <w:rPr>
                <w:rFonts w:cstheme="minorHAnsi"/>
              </w:rPr>
            </w:pPr>
            <w:r w:rsidRPr="00834C0C">
              <w:rPr>
                <w:rFonts w:cstheme="minorHAnsi"/>
              </w:rPr>
              <w:t xml:space="preserve">Participants with ≥1 TEAE of hyperglycemia </w:t>
            </w:r>
            <w:r>
              <w:rPr>
                <w:rFonts w:cstheme="minorHAnsi"/>
              </w:rPr>
              <w:t>with</w:t>
            </w:r>
            <w:r w:rsidRPr="00834C0C">
              <w:rPr>
                <w:rFonts w:cstheme="minorHAnsi"/>
              </w:rPr>
              <w:t xml:space="preserve"> ketosis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7F42F361" w14:textId="77777777" w:rsidR="00015B4D" w:rsidRPr="000B396B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0B396B">
              <w:rPr>
                <w:rFonts w:cstheme="minorHAnsi"/>
              </w:rPr>
              <w:t>22 (9.4)</w:t>
            </w:r>
          </w:p>
        </w:tc>
        <w:tc>
          <w:tcPr>
            <w:tcW w:w="1222" w:type="dxa"/>
            <w:gridSpan w:val="2"/>
            <w:tcBorders>
              <w:bottom w:val="single" w:sz="4" w:space="0" w:color="000000"/>
            </w:tcBorders>
          </w:tcPr>
          <w:p w14:paraId="467FCA85" w14:textId="77777777" w:rsidR="00015B4D" w:rsidRPr="000B396B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BD7B3D">
              <w:rPr>
                <w:rFonts w:cstheme="minorHAnsi"/>
              </w:rPr>
              <w:t>36 (15.8)</w:t>
            </w:r>
          </w:p>
        </w:tc>
        <w:tc>
          <w:tcPr>
            <w:tcW w:w="1318" w:type="dxa"/>
            <w:tcBorders>
              <w:bottom w:val="single" w:sz="4" w:space="0" w:color="000000"/>
            </w:tcBorders>
          </w:tcPr>
          <w:p w14:paraId="2F893AF1" w14:textId="77777777" w:rsidR="00015B4D" w:rsidRPr="000B396B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0B396B">
              <w:rPr>
                <w:rFonts w:cstheme="minorHAnsi"/>
              </w:rPr>
              <w:t>58 (0.26)</w:t>
            </w:r>
          </w:p>
        </w:tc>
        <w:tc>
          <w:tcPr>
            <w:tcW w:w="1966" w:type="dxa"/>
            <w:gridSpan w:val="3"/>
            <w:tcBorders>
              <w:bottom w:val="single" w:sz="4" w:space="0" w:color="000000"/>
            </w:tcBorders>
          </w:tcPr>
          <w:p w14:paraId="3EA6F53C" w14:textId="77777777" w:rsidR="00015B4D" w:rsidRPr="000B396B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0B396B">
              <w:rPr>
                <w:rFonts w:cstheme="minorHAnsi"/>
              </w:rPr>
              <w:t>64 (0.30)</w:t>
            </w:r>
          </w:p>
        </w:tc>
      </w:tr>
      <w:tr w:rsidR="00015B4D" w:rsidRPr="0009784E" w14:paraId="43FDB186" w14:textId="77777777" w:rsidTr="00FF2B87">
        <w:tc>
          <w:tcPr>
            <w:tcW w:w="364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7E727" w14:textId="491323AD" w:rsidR="00015B4D" w:rsidRPr="007D1DA0" w:rsidRDefault="00015B4D" w:rsidP="00FF2B87">
            <w:pPr>
              <w:spacing w:after="0" w:line="240" w:lineRule="auto"/>
              <w:ind w:left="33" w:hanging="33"/>
              <w:contextualSpacing/>
              <w:rPr>
                <w:rFonts w:cstheme="minorHAnsi"/>
                <w:b/>
              </w:rPr>
            </w:pPr>
            <w:r w:rsidRPr="00EE6B8B">
              <w:rPr>
                <w:rFonts w:cstheme="minorHAnsi"/>
                <w:b/>
              </w:rPr>
              <w:t>Hy</w:t>
            </w:r>
            <w:r>
              <w:rPr>
                <w:rFonts w:cstheme="minorHAnsi"/>
                <w:b/>
              </w:rPr>
              <w:t>perglycemia with ketosis</w:t>
            </w:r>
            <w:r w:rsidRPr="007D1DA0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14:paraId="3B6BA89F" w14:textId="77777777" w:rsidR="00015B4D" w:rsidRPr="0009784E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</w:tcBorders>
          </w:tcPr>
          <w:p w14:paraId="2C30B35B" w14:textId="77777777" w:rsidR="00015B4D" w:rsidRPr="0009784E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0"/>
            </w:tcBorders>
          </w:tcPr>
          <w:p w14:paraId="635D6A7F" w14:textId="77777777" w:rsidR="00015B4D" w:rsidRPr="0009784E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</w:tcBorders>
          </w:tcPr>
          <w:p w14:paraId="11CB6C12" w14:textId="77777777" w:rsidR="00015B4D" w:rsidRPr="0009784E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FF2B87" w:rsidRPr="0009784E" w14:paraId="31F1750C" w14:textId="77777777" w:rsidTr="00FF2B87">
        <w:tc>
          <w:tcPr>
            <w:tcW w:w="3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6F779" w14:textId="7E4C8C38" w:rsidR="00FF2B87" w:rsidRPr="00EE6B8B" w:rsidRDefault="00FF2B87" w:rsidP="00FF2B87">
            <w:pPr>
              <w:spacing w:after="0" w:line="240" w:lineRule="auto"/>
              <w:ind w:left="33" w:hanging="33"/>
              <w:contextualSpacing/>
              <w:rPr>
                <w:rFonts w:cstheme="minorHAnsi"/>
                <w:b/>
              </w:rPr>
            </w:pPr>
            <w:r w:rsidRPr="007D1DA0">
              <w:rPr>
                <w:rFonts w:cstheme="minorHAnsi"/>
                <w:b/>
              </w:rPr>
              <w:t>Biochemical</w:t>
            </w:r>
          </w:p>
        </w:tc>
        <w:tc>
          <w:tcPr>
            <w:tcW w:w="1440" w:type="dxa"/>
          </w:tcPr>
          <w:p w14:paraId="7230E207" w14:textId="77777777" w:rsidR="00FF2B87" w:rsidRPr="0009784E" w:rsidRDefault="00FF2B87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22" w:type="dxa"/>
            <w:gridSpan w:val="2"/>
          </w:tcPr>
          <w:p w14:paraId="585C1729" w14:textId="77777777" w:rsidR="00FF2B87" w:rsidRPr="0009784E" w:rsidRDefault="00FF2B87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338" w:type="dxa"/>
            <w:gridSpan w:val="2"/>
          </w:tcPr>
          <w:p w14:paraId="5FF15A08" w14:textId="77777777" w:rsidR="00FF2B87" w:rsidRPr="0009784E" w:rsidRDefault="00FF2B87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946" w:type="dxa"/>
            <w:gridSpan w:val="2"/>
          </w:tcPr>
          <w:p w14:paraId="4917D274" w14:textId="77777777" w:rsidR="00FF2B87" w:rsidRPr="0009784E" w:rsidRDefault="00FF2B87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015B4D" w:rsidRPr="0009784E" w14:paraId="45167A9C" w14:textId="77777777" w:rsidTr="00FF2B87">
        <w:tc>
          <w:tcPr>
            <w:tcW w:w="36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04A5A" w14:textId="77777777" w:rsidR="00015B4D" w:rsidRPr="004041A9" w:rsidRDefault="00015B4D" w:rsidP="002C201A">
            <w:pPr>
              <w:spacing w:after="0" w:line="240" w:lineRule="auto"/>
              <w:contextualSpacing/>
              <w:rPr>
                <w:rFonts w:cstheme="minorHAnsi"/>
              </w:rPr>
            </w:pPr>
            <w:r w:rsidRPr="0009784E">
              <w:rPr>
                <w:rFonts w:cstheme="minorHAnsi"/>
              </w:rPr>
              <w:t xml:space="preserve">Any hyperglycemia with ketosis (SMPG ≥252 mg/dL </w:t>
            </w:r>
            <w:r>
              <w:rPr>
                <w:rFonts w:cstheme="minorHAnsi"/>
              </w:rPr>
              <w:t>[</w:t>
            </w:r>
            <w:r w:rsidRPr="0009784E">
              <w:rPr>
                <w:rFonts w:cstheme="minorHAnsi"/>
              </w:rPr>
              <w:t>≥14 mmol/L</w:t>
            </w:r>
            <w:r>
              <w:rPr>
                <w:rFonts w:cstheme="minorHAnsi"/>
              </w:rPr>
              <w:t>]</w:t>
            </w:r>
            <w:r w:rsidRPr="0009784E">
              <w:rPr>
                <w:rFonts w:cstheme="minorHAnsi"/>
              </w:rPr>
              <w:t xml:space="preserve"> and ketone ≥1.5 mmol/L)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18815562" w14:textId="77777777" w:rsidR="00015B4D" w:rsidRPr="000B396B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0B396B">
              <w:rPr>
                <w:rFonts w:cstheme="minorHAnsi"/>
              </w:rPr>
              <w:t>23 (9.9)</w:t>
            </w:r>
          </w:p>
        </w:tc>
        <w:tc>
          <w:tcPr>
            <w:tcW w:w="1222" w:type="dxa"/>
            <w:gridSpan w:val="2"/>
            <w:tcBorders>
              <w:bottom w:val="single" w:sz="4" w:space="0" w:color="000000"/>
            </w:tcBorders>
          </w:tcPr>
          <w:p w14:paraId="34B55FA7" w14:textId="77777777" w:rsidR="00015B4D" w:rsidRPr="000B396B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0B396B">
              <w:rPr>
                <w:rFonts w:cstheme="minorHAnsi"/>
              </w:rPr>
              <w:t>31 (13.6)</w:t>
            </w:r>
          </w:p>
        </w:tc>
        <w:tc>
          <w:tcPr>
            <w:tcW w:w="1318" w:type="dxa"/>
            <w:tcBorders>
              <w:bottom w:val="single" w:sz="4" w:space="0" w:color="000000"/>
            </w:tcBorders>
          </w:tcPr>
          <w:p w14:paraId="2D235559" w14:textId="77777777" w:rsidR="00015B4D" w:rsidRPr="0009784E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379 (1.69)</w:t>
            </w:r>
            <w:r w:rsidRPr="007A7909">
              <w:rPr>
                <w:rFonts w:cstheme="minorHAnsi"/>
                <w:vertAlign w:val="superscript"/>
              </w:rPr>
              <w:t>†</w:t>
            </w:r>
          </w:p>
        </w:tc>
        <w:tc>
          <w:tcPr>
            <w:tcW w:w="1966" w:type="dxa"/>
            <w:gridSpan w:val="3"/>
            <w:tcBorders>
              <w:bottom w:val="single" w:sz="4" w:space="0" w:color="000000"/>
            </w:tcBorders>
          </w:tcPr>
          <w:p w14:paraId="3F8DFC57" w14:textId="77777777" w:rsidR="00015B4D" w:rsidRPr="0009784E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178 (0.82)</w:t>
            </w:r>
            <w:r>
              <w:rPr>
                <w:rFonts w:cstheme="minorHAnsi"/>
                <w:vertAlign w:val="superscript"/>
              </w:rPr>
              <w:t>‡</w:t>
            </w:r>
          </w:p>
        </w:tc>
      </w:tr>
      <w:tr w:rsidR="00FF2B87" w:rsidRPr="0009784E" w14:paraId="5790C8AF" w14:textId="77777777" w:rsidTr="00FF2B87">
        <w:tc>
          <w:tcPr>
            <w:tcW w:w="364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93116" w14:textId="10491AD5" w:rsidR="00FF2B87" w:rsidRPr="0009784E" w:rsidRDefault="00FF2B87" w:rsidP="002C201A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</w:rPr>
              <w:t>S</w:t>
            </w:r>
            <w:r w:rsidRPr="00E83732">
              <w:rPr>
                <w:rFonts w:cstheme="minorHAnsi"/>
                <w:b/>
              </w:rPr>
              <w:t>ensitivity analysis</w:t>
            </w:r>
            <w:r w:rsidRPr="00FF2B87">
              <w:rPr>
                <w:b/>
                <w:vertAlign w:val="superscript"/>
              </w:rPr>
              <w:t>§</w:t>
            </w: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14:paraId="2DAD05F0" w14:textId="77777777" w:rsidR="00FF2B87" w:rsidRPr="0009784E" w:rsidRDefault="00FF2B87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</w:tcBorders>
          </w:tcPr>
          <w:p w14:paraId="61C9A612" w14:textId="77777777" w:rsidR="00FF2B87" w:rsidRPr="0009784E" w:rsidRDefault="00FF2B87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318" w:type="dxa"/>
            <w:tcBorders>
              <w:top w:val="single" w:sz="4" w:space="0" w:color="000000"/>
            </w:tcBorders>
          </w:tcPr>
          <w:p w14:paraId="0FF4F13C" w14:textId="77777777" w:rsidR="00FF2B87" w:rsidRPr="000B396B" w:rsidRDefault="00FF2B87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966" w:type="dxa"/>
            <w:gridSpan w:val="3"/>
            <w:tcBorders>
              <w:top w:val="single" w:sz="4" w:space="0" w:color="000000"/>
            </w:tcBorders>
          </w:tcPr>
          <w:p w14:paraId="42D74577" w14:textId="77777777" w:rsidR="00FF2B87" w:rsidRPr="000B396B" w:rsidRDefault="00FF2B87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015B4D" w:rsidRPr="0009784E" w14:paraId="5C92722D" w14:textId="77777777" w:rsidTr="00FF2B87">
        <w:tc>
          <w:tcPr>
            <w:tcW w:w="3640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982C0" w14:textId="77777777" w:rsidR="00015B4D" w:rsidRPr="00A40953" w:rsidRDefault="00015B4D" w:rsidP="002C201A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09784E">
              <w:rPr>
                <w:rFonts w:cstheme="minorHAnsi"/>
              </w:rPr>
              <w:t xml:space="preserve">Any hyperglycemia with ketosis (SMPG ≥252 mg/dL </w:t>
            </w:r>
            <w:r>
              <w:rPr>
                <w:rFonts w:cstheme="minorHAnsi"/>
              </w:rPr>
              <w:t>[</w:t>
            </w:r>
            <w:r w:rsidRPr="0009784E">
              <w:rPr>
                <w:rFonts w:cstheme="minorHAnsi"/>
              </w:rPr>
              <w:t>≥14 mmol/L</w:t>
            </w:r>
            <w:r>
              <w:rPr>
                <w:rFonts w:cstheme="minorHAnsi"/>
              </w:rPr>
              <w:t>]</w:t>
            </w:r>
            <w:r w:rsidRPr="0009784E">
              <w:rPr>
                <w:rFonts w:cstheme="minorHAnsi"/>
              </w:rPr>
              <w:t xml:space="preserve"> and ketone ≥1.5 mmol/L)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1F9CA9B" w14:textId="77777777" w:rsidR="00015B4D" w:rsidRPr="0009784E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22" w:type="dxa"/>
            <w:gridSpan w:val="2"/>
            <w:tcBorders>
              <w:bottom w:val="single" w:sz="12" w:space="0" w:color="000000"/>
            </w:tcBorders>
          </w:tcPr>
          <w:p w14:paraId="06DE6165" w14:textId="77777777" w:rsidR="00015B4D" w:rsidRPr="0009784E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318" w:type="dxa"/>
            <w:tcBorders>
              <w:bottom w:val="single" w:sz="12" w:space="0" w:color="000000"/>
            </w:tcBorders>
          </w:tcPr>
          <w:p w14:paraId="1C4B254D" w14:textId="77777777" w:rsidR="00015B4D" w:rsidRPr="000B396B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0B396B">
              <w:rPr>
                <w:rFonts w:cstheme="minorHAnsi"/>
              </w:rPr>
              <w:t>79 (0.35)</w:t>
            </w:r>
          </w:p>
        </w:tc>
        <w:tc>
          <w:tcPr>
            <w:tcW w:w="1966" w:type="dxa"/>
            <w:gridSpan w:val="3"/>
            <w:tcBorders>
              <w:bottom w:val="single" w:sz="12" w:space="0" w:color="000000"/>
            </w:tcBorders>
          </w:tcPr>
          <w:p w14:paraId="09E2CB00" w14:textId="77777777" w:rsidR="00015B4D" w:rsidRPr="000B396B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0B396B">
              <w:rPr>
                <w:rFonts w:cstheme="minorHAnsi"/>
              </w:rPr>
              <w:t>91 (0.42)</w:t>
            </w:r>
          </w:p>
        </w:tc>
      </w:tr>
      <w:tr w:rsidR="00015B4D" w:rsidRPr="0009784E" w14:paraId="338AD72A" w14:textId="77777777" w:rsidTr="00FF2B87">
        <w:tc>
          <w:tcPr>
            <w:tcW w:w="3640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58740" w14:textId="7D184F8F" w:rsidR="00015B4D" w:rsidRPr="00856640" w:rsidRDefault="00015B4D" w:rsidP="00FF2B87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 w:rsidRPr="00A40953">
              <w:rPr>
                <w:rFonts w:cstheme="minorHAnsi"/>
                <w:b/>
              </w:rPr>
              <w:t>Adverse Events</w:t>
            </w:r>
            <w:r>
              <w:rPr>
                <w:rFonts w:cstheme="minorHAnsi"/>
                <w:color w:val="000000"/>
              </w:rPr>
              <w:t>: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1B25CB3" w14:textId="77777777" w:rsidR="00015B4D" w:rsidRPr="0009784E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22" w:type="dxa"/>
            <w:gridSpan w:val="2"/>
            <w:tcBorders>
              <w:top w:val="single" w:sz="12" w:space="0" w:color="000000"/>
            </w:tcBorders>
          </w:tcPr>
          <w:p w14:paraId="329AE637" w14:textId="77777777" w:rsidR="00015B4D" w:rsidRPr="0009784E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318" w:type="dxa"/>
            <w:tcBorders>
              <w:top w:val="single" w:sz="12" w:space="0" w:color="000000"/>
            </w:tcBorders>
          </w:tcPr>
          <w:p w14:paraId="7B7EA5BE" w14:textId="77777777" w:rsidR="00015B4D" w:rsidRPr="0009784E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966" w:type="dxa"/>
            <w:gridSpan w:val="3"/>
            <w:tcBorders>
              <w:top w:val="single" w:sz="12" w:space="0" w:color="000000"/>
            </w:tcBorders>
          </w:tcPr>
          <w:p w14:paraId="44A97218" w14:textId="77777777" w:rsidR="00015B4D" w:rsidRPr="0009784E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FF2B87" w:rsidRPr="0009784E" w14:paraId="341DBC6C" w14:textId="77777777" w:rsidTr="00FF2B87">
        <w:tc>
          <w:tcPr>
            <w:tcW w:w="3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2719B" w14:textId="28B12978" w:rsidR="00FF2B87" w:rsidRPr="00A40953" w:rsidRDefault="00FF2B87" w:rsidP="00FF2B87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09784E">
              <w:rPr>
                <w:rFonts w:cstheme="minorHAnsi"/>
                <w:color w:val="000000"/>
              </w:rPr>
              <w:t>Participants with</w:t>
            </w:r>
          </w:p>
        </w:tc>
        <w:tc>
          <w:tcPr>
            <w:tcW w:w="1440" w:type="dxa"/>
          </w:tcPr>
          <w:p w14:paraId="5C4D154F" w14:textId="77777777" w:rsidR="00FF2B87" w:rsidRPr="0009784E" w:rsidRDefault="00FF2B87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22" w:type="dxa"/>
            <w:gridSpan w:val="2"/>
          </w:tcPr>
          <w:p w14:paraId="143754EA" w14:textId="77777777" w:rsidR="00FF2B87" w:rsidRPr="0009784E" w:rsidRDefault="00FF2B87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318" w:type="dxa"/>
          </w:tcPr>
          <w:p w14:paraId="29C146FD" w14:textId="77777777" w:rsidR="00FF2B87" w:rsidRPr="0009784E" w:rsidRDefault="00FF2B87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966" w:type="dxa"/>
            <w:gridSpan w:val="3"/>
          </w:tcPr>
          <w:p w14:paraId="76CD114D" w14:textId="77777777" w:rsidR="00FF2B87" w:rsidRPr="0009784E" w:rsidRDefault="00FF2B87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015B4D" w:rsidRPr="0009784E" w14:paraId="7758075D" w14:textId="77777777" w:rsidTr="00FF2B87">
        <w:tc>
          <w:tcPr>
            <w:tcW w:w="3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D34EE" w14:textId="77777777" w:rsidR="00015B4D" w:rsidRPr="0009784E" w:rsidRDefault="00015B4D" w:rsidP="002C201A">
            <w:pPr>
              <w:spacing w:after="0" w:line="240" w:lineRule="auto"/>
              <w:ind w:hanging="18"/>
              <w:contextualSpacing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A</w:t>
            </w:r>
            <w:r w:rsidRPr="0009784E">
              <w:rPr>
                <w:rFonts w:cstheme="minorHAnsi"/>
                <w:color w:val="000000"/>
              </w:rPr>
              <w:t>ny TEAE</w:t>
            </w:r>
          </w:p>
        </w:tc>
        <w:tc>
          <w:tcPr>
            <w:tcW w:w="1440" w:type="dxa"/>
          </w:tcPr>
          <w:p w14:paraId="28948406" w14:textId="77777777" w:rsidR="00015B4D" w:rsidRPr="003C3BD1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3C3BD1">
              <w:rPr>
                <w:rFonts w:cstheme="minorHAnsi"/>
              </w:rPr>
              <w:t>167 (71.7)</w:t>
            </w:r>
          </w:p>
        </w:tc>
        <w:tc>
          <w:tcPr>
            <w:tcW w:w="1222" w:type="dxa"/>
            <w:gridSpan w:val="2"/>
          </w:tcPr>
          <w:p w14:paraId="6499B3DE" w14:textId="77777777" w:rsidR="00015B4D" w:rsidRPr="003C3BD1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3C3BD1">
              <w:rPr>
                <w:rFonts w:cstheme="minorHAnsi"/>
              </w:rPr>
              <w:t>168 (73.7)</w:t>
            </w:r>
          </w:p>
        </w:tc>
        <w:tc>
          <w:tcPr>
            <w:tcW w:w="1318" w:type="dxa"/>
          </w:tcPr>
          <w:p w14:paraId="779635BE" w14:textId="77777777" w:rsidR="00015B4D" w:rsidRPr="003C3BD1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3C3BD1">
              <w:rPr>
                <w:rFonts w:cstheme="minorHAnsi"/>
              </w:rPr>
              <w:t>673 (3.01)</w:t>
            </w:r>
          </w:p>
        </w:tc>
        <w:tc>
          <w:tcPr>
            <w:tcW w:w="1966" w:type="dxa"/>
            <w:gridSpan w:val="3"/>
          </w:tcPr>
          <w:p w14:paraId="5898C204" w14:textId="77777777" w:rsidR="00015B4D" w:rsidRPr="003C3BD1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3C3BD1">
              <w:rPr>
                <w:rFonts w:cstheme="minorHAnsi"/>
              </w:rPr>
              <w:t>606 (2.79)</w:t>
            </w:r>
          </w:p>
        </w:tc>
      </w:tr>
      <w:tr w:rsidR="00015B4D" w:rsidRPr="0009784E" w14:paraId="2DA6E8EE" w14:textId="77777777" w:rsidTr="00FF2B87">
        <w:tc>
          <w:tcPr>
            <w:tcW w:w="3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F7AEB" w14:textId="77777777" w:rsidR="00015B4D" w:rsidRPr="0009784E" w:rsidRDefault="00015B4D" w:rsidP="002C201A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A</w:t>
            </w:r>
            <w:r w:rsidRPr="0009784E">
              <w:rPr>
                <w:rFonts w:cstheme="minorHAnsi"/>
                <w:color w:val="000000"/>
              </w:rPr>
              <w:t>ny treatment emergent SAE</w:t>
            </w:r>
          </w:p>
        </w:tc>
        <w:tc>
          <w:tcPr>
            <w:tcW w:w="1440" w:type="dxa"/>
          </w:tcPr>
          <w:p w14:paraId="5DBB2DDC" w14:textId="77777777" w:rsidR="00015B4D" w:rsidRPr="003C3BD1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3C3BD1">
              <w:rPr>
                <w:rFonts w:cstheme="minorHAnsi"/>
              </w:rPr>
              <w:t>35 (15.0)</w:t>
            </w:r>
          </w:p>
        </w:tc>
        <w:tc>
          <w:tcPr>
            <w:tcW w:w="1222" w:type="dxa"/>
            <w:gridSpan w:val="2"/>
          </w:tcPr>
          <w:p w14:paraId="70DB3C5E" w14:textId="77777777" w:rsidR="00015B4D" w:rsidRPr="003C3BD1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3C3BD1">
              <w:rPr>
                <w:rFonts w:cstheme="minorHAnsi"/>
              </w:rPr>
              <w:t>31 (13.6)</w:t>
            </w:r>
          </w:p>
        </w:tc>
        <w:tc>
          <w:tcPr>
            <w:tcW w:w="1318" w:type="dxa"/>
          </w:tcPr>
          <w:p w14:paraId="25A7CE1F" w14:textId="77777777" w:rsidR="00015B4D" w:rsidRPr="003C3BD1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3C3BD1">
              <w:rPr>
                <w:rFonts w:cstheme="minorHAnsi"/>
              </w:rPr>
              <w:t>52 (0.23)</w:t>
            </w:r>
          </w:p>
        </w:tc>
        <w:tc>
          <w:tcPr>
            <w:tcW w:w="1966" w:type="dxa"/>
            <w:gridSpan w:val="3"/>
          </w:tcPr>
          <w:p w14:paraId="319B4B5C" w14:textId="77777777" w:rsidR="00015B4D" w:rsidRPr="003C3BD1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3C3BD1">
              <w:rPr>
                <w:rFonts w:cstheme="minorHAnsi"/>
              </w:rPr>
              <w:t>44 (0.20)</w:t>
            </w:r>
          </w:p>
        </w:tc>
      </w:tr>
      <w:tr w:rsidR="00015B4D" w:rsidRPr="0009784E" w14:paraId="7A93FEF0" w14:textId="77777777" w:rsidTr="00FF2B87">
        <w:tc>
          <w:tcPr>
            <w:tcW w:w="3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CA80" w14:textId="77777777" w:rsidR="00015B4D" w:rsidRPr="0009784E" w:rsidRDefault="00015B4D" w:rsidP="002C201A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A</w:t>
            </w:r>
            <w:r w:rsidRPr="0009784E">
              <w:rPr>
                <w:rFonts w:cstheme="minorHAnsi"/>
                <w:color w:val="000000"/>
              </w:rPr>
              <w:t>ny TEAE leading to death</w:t>
            </w:r>
          </w:p>
        </w:tc>
        <w:tc>
          <w:tcPr>
            <w:tcW w:w="1440" w:type="dxa"/>
          </w:tcPr>
          <w:p w14:paraId="585F7ABF" w14:textId="77777777" w:rsidR="00015B4D" w:rsidRPr="003C3BD1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3C3BD1">
              <w:rPr>
                <w:rFonts w:cstheme="minorHAnsi"/>
              </w:rPr>
              <w:t>1 (0.4)</w:t>
            </w:r>
          </w:p>
        </w:tc>
        <w:tc>
          <w:tcPr>
            <w:tcW w:w="1222" w:type="dxa"/>
            <w:gridSpan w:val="2"/>
          </w:tcPr>
          <w:p w14:paraId="61F4E11A" w14:textId="77777777" w:rsidR="00015B4D" w:rsidRPr="003C3BD1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3C3BD1">
              <w:rPr>
                <w:rFonts w:cstheme="minorHAnsi"/>
              </w:rPr>
              <w:t>0</w:t>
            </w:r>
          </w:p>
        </w:tc>
        <w:tc>
          <w:tcPr>
            <w:tcW w:w="1318" w:type="dxa"/>
          </w:tcPr>
          <w:p w14:paraId="0A6C9BFC" w14:textId="77777777" w:rsidR="00015B4D" w:rsidRPr="003C3BD1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3C3BD1">
              <w:rPr>
                <w:rFonts w:cstheme="minorHAnsi"/>
              </w:rPr>
              <w:t>2 (0.01)</w:t>
            </w:r>
          </w:p>
        </w:tc>
        <w:tc>
          <w:tcPr>
            <w:tcW w:w="1966" w:type="dxa"/>
            <w:gridSpan w:val="3"/>
          </w:tcPr>
          <w:p w14:paraId="03A8B77E" w14:textId="77777777" w:rsidR="00015B4D" w:rsidRPr="003C3BD1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3C3BD1">
              <w:rPr>
                <w:rFonts w:cstheme="minorHAnsi"/>
              </w:rPr>
              <w:t>0</w:t>
            </w:r>
          </w:p>
        </w:tc>
      </w:tr>
      <w:tr w:rsidR="00015B4D" w:rsidRPr="0009784E" w14:paraId="59A4122F" w14:textId="77777777" w:rsidTr="00FF2B87">
        <w:tc>
          <w:tcPr>
            <w:tcW w:w="3640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836CC" w14:textId="77777777" w:rsidR="00015B4D" w:rsidRPr="0009784E" w:rsidRDefault="00015B4D" w:rsidP="002C201A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A</w:t>
            </w:r>
            <w:r w:rsidRPr="0009784E">
              <w:rPr>
                <w:rFonts w:cstheme="minorHAnsi"/>
                <w:color w:val="000000"/>
              </w:rPr>
              <w:t>ny TEAE leading to permanent treatment discontinuation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424B0275" w14:textId="77777777" w:rsidR="00015B4D" w:rsidRPr="003C3BD1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3C3BD1">
              <w:rPr>
                <w:rFonts w:cstheme="minorHAnsi"/>
              </w:rPr>
              <w:t>3 (1.3)</w:t>
            </w:r>
          </w:p>
        </w:tc>
        <w:tc>
          <w:tcPr>
            <w:tcW w:w="1222" w:type="dxa"/>
            <w:gridSpan w:val="2"/>
            <w:tcBorders>
              <w:bottom w:val="single" w:sz="12" w:space="0" w:color="000000"/>
            </w:tcBorders>
          </w:tcPr>
          <w:p w14:paraId="52AA0DE2" w14:textId="77777777" w:rsidR="00015B4D" w:rsidRPr="003C3BD1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3C3BD1">
              <w:rPr>
                <w:rFonts w:cstheme="minorHAnsi"/>
              </w:rPr>
              <w:t>3 (1.3)</w:t>
            </w:r>
          </w:p>
        </w:tc>
        <w:tc>
          <w:tcPr>
            <w:tcW w:w="1318" w:type="dxa"/>
            <w:tcBorders>
              <w:bottom w:val="single" w:sz="12" w:space="0" w:color="000000"/>
            </w:tcBorders>
          </w:tcPr>
          <w:p w14:paraId="60E36699" w14:textId="77777777" w:rsidR="00015B4D" w:rsidRPr="003C3BD1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3C3BD1">
              <w:rPr>
                <w:rFonts w:cstheme="minorHAnsi"/>
              </w:rPr>
              <w:t>5 (0.02)</w:t>
            </w:r>
          </w:p>
        </w:tc>
        <w:tc>
          <w:tcPr>
            <w:tcW w:w="1966" w:type="dxa"/>
            <w:gridSpan w:val="3"/>
            <w:tcBorders>
              <w:bottom w:val="single" w:sz="12" w:space="0" w:color="000000"/>
            </w:tcBorders>
          </w:tcPr>
          <w:p w14:paraId="0EE3F113" w14:textId="77777777" w:rsidR="00015B4D" w:rsidRPr="003C3BD1" w:rsidRDefault="00015B4D" w:rsidP="002C201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3C3BD1">
              <w:rPr>
                <w:rFonts w:cstheme="minorHAnsi"/>
              </w:rPr>
              <w:t>3 (0.01)</w:t>
            </w:r>
          </w:p>
        </w:tc>
      </w:tr>
    </w:tbl>
    <w:p w14:paraId="065A7C54" w14:textId="193B23AE" w:rsidR="00015B4D" w:rsidRDefault="00015B4D" w:rsidP="00015B4D">
      <w:pPr>
        <w:rPr>
          <w:rFonts w:cstheme="minorHAnsi"/>
        </w:rPr>
      </w:pPr>
      <w:r>
        <w:t xml:space="preserve">*The 12-month TEAE period was defined as </w:t>
      </w:r>
      <w:r w:rsidRPr="00426036">
        <w:t xml:space="preserve">the period from first basal insulin treatment up to two days after the last treatment dose. </w:t>
      </w:r>
      <w:r w:rsidRPr="00426036">
        <w:rPr>
          <w:rFonts w:cstheme="minorHAnsi"/>
          <w:vertAlign w:val="superscript"/>
        </w:rPr>
        <w:t>†</w:t>
      </w:r>
      <w:r w:rsidRPr="00426036">
        <w:rPr>
          <w:rFonts w:cstheme="minorHAnsi"/>
        </w:rPr>
        <w:t xml:space="preserve">One participant in the Gla-300 group presented with 300 events of hyperglycemia with ketosis (SMPG ≥252 </w:t>
      </w:r>
      <w:r w:rsidRPr="00426036">
        <w:rPr>
          <w:rFonts w:cstheme="minorHAnsi"/>
        </w:rPr>
        <w:lastRenderedPageBreak/>
        <w:t xml:space="preserve">mg/dL [≥14 mmol/L] and ketone ≥1.5 mmol/L) </w:t>
      </w:r>
      <w:r w:rsidRPr="00426036">
        <w:rPr>
          <w:rFonts w:cstheme="minorHAnsi"/>
          <w:vertAlign w:val="superscript"/>
        </w:rPr>
        <w:t>‡</w:t>
      </w:r>
      <w:r w:rsidRPr="00426036">
        <w:rPr>
          <w:rFonts w:cstheme="minorHAnsi"/>
        </w:rPr>
        <w:t>One participant in the Gla-100 group presented with 87 events</w:t>
      </w:r>
      <w:r w:rsidRPr="0009784E">
        <w:rPr>
          <w:rFonts w:cstheme="minorHAnsi"/>
        </w:rPr>
        <w:t xml:space="preserve"> of hyperglycemia with ketosis (SMPG ≥252 mg/dL</w:t>
      </w:r>
      <w:r>
        <w:rPr>
          <w:rFonts w:cstheme="minorHAnsi"/>
        </w:rPr>
        <w:t xml:space="preserve"> [</w:t>
      </w:r>
      <w:r w:rsidRPr="0009784E">
        <w:rPr>
          <w:rFonts w:cstheme="minorHAnsi"/>
        </w:rPr>
        <w:t>≥14 mmol/L] and ketone ≥1.5 mmol/L).</w:t>
      </w:r>
      <w:r w:rsidR="00FF2B87">
        <w:rPr>
          <w:rFonts w:cstheme="minorHAnsi"/>
        </w:rPr>
        <w:t xml:space="preserve"> </w:t>
      </w:r>
      <w:r w:rsidR="00FF2B87" w:rsidRPr="00FF2B87">
        <w:rPr>
          <w:b/>
          <w:vertAlign w:val="superscript"/>
        </w:rPr>
        <w:t>§</w:t>
      </w:r>
      <w:r w:rsidR="00FF2B87" w:rsidRPr="00FF2B87">
        <w:rPr>
          <w:rFonts w:cstheme="minorHAnsi"/>
        </w:rPr>
        <w:t>Ad-hoc sensitivity analysis for number of biochemical events (excluding 2 participants with &gt;30 events of hyperglycemia with ketosis)</w:t>
      </w:r>
      <w:r w:rsidR="00FF2B87">
        <w:rPr>
          <w:rFonts w:cstheme="minorHAnsi"/>
        </w:rPr>
        <w:t>.</w:t>
      </w:r>
    </w:p>
    <w:p w14:paraId="58606187" w14:textId="77777777" w:rsidR="00015B4D" w:rsidRDefault="00015B4D" w:rsidP="00015B4D">
      <w:r>
        <w:t>CI, confidence interval; E(R), number of events (event rate per participant-year); ITT, intent-to-treat; SAE, serious adverse event; SMPG, self-monitored plasma glucose; TEAE, treatment-emergent adverse event</w:t>
      </w:r>
    </w:p>
    <w:p w14:paraId="048A6F08" w14:textId="77777777" w:rsidR="00015B4D" w:rsidRDefault="00015B4D" w:rsidP="00015B4D">
      <w:pPr>
        <w:spacing w:line="360" w:lineRule="auto"/>
      </w:pPr>
      <w:r>
        <w:br w:type="page"/>
      </w:r>
    </w:p>
    <w:p w14:paraId="4DD24A77" w14:textId="77777777" w:rsidR="00015B4D" w:rsidRDefault="00015B4D" w:rsidP="00015B4D">
      <w:pPr>
        <w:pStyle w:val="Heading3"/>
        <w:spacing w:line="360" w:lineRule="auto"/>
        <w:sectPr w:rsidR="00015B4D" w:rsidSect="00EF3BB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77F98CA" w14:textId="326A8F97" w:rsidR="00015B4D" w:rsidRPr="00BB429B" w:rsidRDefault="00015B4D" w:rsidP="00015B4D">
      <w:pPr>
        <w:pStyle w:val="Heading3"/>
        <w:spacing w:line="360" w:lineRule="auto"/>
      </w:pPr>
      <w:r w:rsidRPr="00BB429B">
        <w:lastRenderedPageBreak/>
        <w:t xml:space="preserve">Supplementary Table </w:t>
      </w:r>
      <w:r w:rsidR="000E5FCC">
        <w:t>5</w:t>
      </w:r>
      <w:r w:rsidRPr="00BB429B">
        <w:t xml:space="preserve">. Incidence and </w:t>
      </w:r>
      <w:r w:rsidR="00D900FF">
        <w:t>event rates</w:t>
      </w:r>
      <w:r w:rsidRPr="00BB429B">
        <w:t xml:space="preserve"> of hyperglycemia with ketosis during the main 6-month treatment period (safety population)</w:t>
      </w:r>
    </w:p>
    <w:tbl>
      <w:tblPr>
        <w:tblW w:w="90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3"/>
        <w:gridCol w:w="1532"/>
        <w:gridCol w:w="1798"/>
        <w:gridCol w:w="1465"/>
        <w:gridCol w:w="1800"/>
      </w:tblGrid>
      <w:tr w:rsidR="00015B4D" w:rsidRPr="00647A52" w14:paraId="47208CCE" w14:textId="77777777" w:rsidTr="00D46BA9">
        <w:tc>
          <w:tcPr>
            <w:tcW w:w="2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543E5" w14:textId="77777777" w:rsidR="00015B4D" w:rsidRPr="00D058A7" w:rsidRDefault="00015B4D" w:rsidP="002C201A">
            <w:pPr>
              <w:pStyle w:val="Heading3"/>
              <w:spacing w:line="360" w:lineRule="auto"/>
              <w:rPr>
                <w:b w:val="0"/>
              </w:rPr>
            </w:pPr>
          </w:p>
        </w:tc>
        <w:tc>
          <w:tcPr>
            <w:tcW w:w="333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B65D6" w14:textId="47541A4F" w:rsidR="00015B4D" w:rsidRPr="00D058A7" w:rsidRDefault="00015B4D" w:rsidP="002C201A">
            <w:pPr>
              <w:pStyle w:val="Heading3"/>
              <w:spacing w:line="360" w:lineRule="auto"/>
              <w:rPr>
                <w:b w:val="0"/>
              </w:rPr>
            </w:pPr>
            <w:r w:rsidRPr="00D058A7">
              <w:rPr>
                <w:b w:val="0"/>
              </w:rPr>
              <w:t>Gla-300</w:t>
            </w:r>
          </w:p>
        </w:tc>
        <w:tc>
          <w:tcPr>
            <w:tcW w:w="326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245E8" w14:textId="00822816" w:rsidR="00015B4D" w:rsidRPr="00D058A7" w:rsidRDefault="00015B4D" w:rsidP="002C201A">
            <w:pPr>
              <w:pStyle w:val="Heading3"/>
              <w:spacing w:line="360" w:lineRule="auto"/>
              <w:rPr>
                <w:b w:val="0"/>
              </w:rPr>
            </w:pPr>
            <w:r w:rsidRPr="00D058A7">
              <w:rPr>
                <w:b w:val="0"/>
              </w:rPr>
              <w:t>Gla-100</w:t>
            </w:r>
          </w:p>
        </w:tc>
      </w:tr>
      <w:tr w:rsidR="00FF2B87" w:rsidRPr="00647A52" w14:paraId="316B0AA1" w14:textId="77777777" w:rsidTr="00D46BA9">
        <w:tc>
          <w:tcPr>
            <w:tcW w:w="2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312AB" w14:textId="77777777" w:rsidR="00FF2B87" w:rsidRPr="00D058A7" w:rsidRDefault="00FF2B87" w:rsidP="002C201A">
            <w:pPr>
              <w:pStyle w:val="Heading3"/>
              <w:spacing w:line="360" w:lineRule="auto"/>
              <w:rPr>
                <w:b w:val="0"/>
              </w:rPr>
            </w:pPr>
          </w:p>
        </w:tc>
        <w:tc>
          <w:tcPr>
            <w:tcW w:w="333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FE098" w14:textId="4289E23C" w:rsidR="00FF2B87" w:rsidRPr="00D058A7" w:rsidRDefault="00FF2B87" w:rsidP="002C201A">
            <w:pPr>
              <w:pStyle w:val="Heading3"/>
              <w:spacing w:line="360" w:lineRule="auto"/>
              <w:rPr>
                <w:b w:val="0"/>
              </w:rPr>
            </w:pPr>
            <w:r w:rsidRPr="00D058A7">
              <w:rPr>
                <w:b w:val="0"/>
              </w:rPr>
              <w:t>(N=233)</w:t>
            </w:r>
          </w:p>
        </w:tc>
        <w:tc>
          <w:tcPr>
            <w:tcW w:w="32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80315" w14:textId="742194BD" w:rsidR="00FF2B87" w:rsidRPr="00D058A7" w:rsidRDefault="00FF2B87" w:rsidP="002C201A">
            <w:pPr>
              <w:pStyle w:val="Heading3"/>
              <w:spacing w:line="360" w:lineRule="auto"/>
              <w:rPr>
                <w:b w:val="0"/>
              </w:rPr>
            </w:pPr>
            <w:r w:rsidRPr="00D058A7">
              <w:rPr>
                <w:b w:val="0"/>
              </w:rPr>
              <w:t>(N=228)</w:t>
            </w:r>
          </w:p>
        </w:tc>
      </w:tr>
      <w:tr w:rsidR="00015B4D" w:rsidRPr="00647A52" w14:paraId="28488B89" w14:textId="77777777" w:rsidTr="00D46BA9">
        <w:tc>
          <w:tcPr>
            <w:tcW w:w="2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6852A" w14:textId="3D134F93" w:rsidR="00015B4D" w:rsidRPr="00D058A7" w:rsidRDefault="00015B4D" w:rsidP="002C201A">
            <w:pPr>
              <w:pStyle w:val="Heading3"/>
              <w:spacing w:line="360" w:lineRule="auto"/>
              <w:rPr>
                <w:b w:val="0"/>
              </w:rPr>
            </w:pPr>
            <w:r w:rsidRPr="00D058A7">
              <w:rPr>
                <w:b w:val="0"/>
              </w:rPr>
              <w:t>Preferred Term</w:t>
            </w:r>
            <w:r w:rsidR="00D900FF">
              <w:rPr>
                <w:b w:val="0"/>
              </w:rPr>
              <w:t>*</w:t>
            </w:r>
          </w:p>
        </w:tc>
        <w:tc>
          <w:tcPr>
            <w:tcW w:w="153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F7D4A" w14:textId="51CDC5F3" w:rsidR="00015B4D" w:rsidRPr="00D058A7" w:rsidRDefault="00015B4D" w:rsidP="002C201A">
            <w:pPr>
              <w:pStyle w:val="Heading3"/>
              <w:spacing w:line="360" w:lineRule="auto"/>
              <w:rPr>
                <w:b w:val="0"/>
              </w:rPr>
            </w:pPr>
            <w:r w:rsidRPr="00D058A7">
              <w:rPr>
                <w:b w:val="0"/>
              </w:rPr>
              <w:t xml:space="preserve">Number of participants </w:t>
            </w:r>
          </w:p>
        </w:tc>
        <w:tc>
          <w:tcPr>
            <w:tcW w:w="1798" w:type="dxa"/>
            <w:tcBorders>
              <w:top w:val="single" w:sz="4" w:space="0" w:color="000000"/>
            </w:tcBorders>
            <w:shd w:val="clear" w:color="auto" w:fill="auto"/>
          </w:tcPr>
          <w:p w14:paraId="26A66257" w14:textId="1BCAD495" w:rsidR="00015B4D" w:rsidRPr="00D058A7" w:rsidRDefault="00015B4D" w:rsidP="002C201A">
            <w:pPr>
              <w:pStyle w:val="Heading3"/>
              <w:spacing w:line="360" w:lineRule="auto"/>
              <w:rPr>
                <w:b w:val="0"/>
              </w:rPr>
            </w:pPr>
            <w:r w:rsidRPr="00D058A7">
              <w:rPr>
                <w:b w:val="0"/>
              </w:rPr>
              <w:t xml:space="preserve">Number of events </w:t>
            </w:r>
          </w:p>
        </w:tc>
        <w:tc>
          <w:tcPr>
            <w:tcW w:w="146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77101" w14:textId="1226FCB1" w:rsidR="00015B4D" w:rsidRPr="00D058A7" w:rsidRDefault="00015B4D" w:rsidP="002C201A">
            <w:pPr>
              <w:pStyle w:val="Heading3"/>
              <w:spacing w:line="360" w:lineRule="auto"/>
              <w:rPr>
                <w:b w:val="0"/>
              </w:rPr>
            </w:pPr>
            <w:r w:rsidRPr="00D058A7">
              <w:rPr>
                <w:b w:val="0"/>
              </w:rPr>
              <w:t xml:space="preserve">Number of participants 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auto"/>
          </w:tcPr>
          <w:p w14:paraId="1657258F" w14:textId="0525E915" w:rsidR="00015B4D" w:rsidRPr="00D058A7" w:rsidRDefault="00015B4D" w:rsidP="002C201A">
            <w:pPr>
              <w:pStyle w:val="Heading3"/>
              <w:spacing w:line="360" w:lineRule="auto"/>
              <w:rPr>
                <w:b w:val="0"/>
              </w:rPr>
            </w:pPr>
            <w:r w:rsidRPr="00D058A7">
              <w:rPr>
                <w:b w:val="0"/>
              </w:rPr>
              <w:t xml:space="preserve">Number of events </w:t>
            </w:r>
          </w:p>
        </w:tc>
      </w:tr>
      <w:tr w:rsidR="00D46BA9" w:rsidRPr="00647A52" w14:paraId="1EB00198" w14:textId="77777777" w:rsidTr="00D46BA9">
        <w:tc>
          <w:tcPr>
            <w:tcW w:w="242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8B2A3" w14:textId="77777777" w:rsidR="00D46BA9" w:rsidRPr="00D058A7" w:rsidRDefault="00D46BA9" w:rsidP="002C201A">
            <w:pPr>
              <w:pStyle w:val="Heading3"/>
              <w:spacing w:line="360" w:lineRule="auto"/>
              <w:rPr>
                <w:b w:val="0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9DC12" w14:textId="5E2FE693" w:rsidR="00D46BA9" w:rsidRPr="00D058A7" w:rsidRDefault="00D46BA9" w:rsidP="002C201A">
            <w:pPr>
              <w:pStyle w:val="Heading3"/>
              <w:spacing w:line="360" w:lineRule="auto"/>
              <w:rPr>
                <w:b w:val="0"/>
              </w:rPr>
            </w:pPr>
            <w:r w:rsidRPr="00D058A7">
              <w:rPr>
                <w:b w:val="0"/>
              </w:rPr>
              <w:t>(%)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14:paraId="28AC9BF9" w14:textId="5F514D69" w:rsidR="00D46BA9" w:rsidRPr="00D058A7" w:rsidRDefault="00D46BA9" w:rsidP="002C201A">
            <w:pPr>
              <w:pStyle w:val="Heading3"/>
              <w:spacing w:line="360" w:lineRule="auto"/>
              <w:rPr>
                <w:b w:val="0"/>
              </w:rPr>
            </w:pPr>
            <w:r w:rsidRPr="00D058A7">
              <w:rPr>
                <w:b w:val="0"/>
              </w:rPr>
              <w:t>(</w:t>
            </w:r>
            <w:r w:rsidR="00277C08">
              <w:rPr>
                <w:b w:val="0"/>
              </w:rPr>
              <w:t>events</w:t>
            </w:r>
            <w:r w:rsidRPr="00D058A7">
              <w:rPr>
                <w:b w:val="0"/>
              </w:rPr>
              <w:t xml:space="preserve"> per participant-year)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855A2" w14:textId="7CB8C8FF" w:rsidR="00D46BA9" w:rsidRPr="00D058A7" w:rsidRDefault="00D46BA9" w:rsidP="002C201A">
            <w:pPr>
              <w:pStyle w:val="Heading3"/>
              <w:spacing w:line="360" w:lineRule="auto"/>
              <w:rPr>
                <w:b w:val="0"/>
              </w:rPr>
            </w:pPr>
            <w:r w:rsidRPr="00D058A7">
              <w:rPr>
                <w:b w:val="0"/>
              </w:rPr>
              <w:t>(%)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C29E7D7" w14:textId="2FDACDDF" w:rsidR="00D46BA9" w:rsidRPr="00D058A7" w:rsidRDefault="00D46BA9" w:rsidP="002C201A">
            <w:pPr>
              <w:pStyle w:val="Heading3"/>
              <w:spacing w:line="360" w:lineRule="auto"/>
              <w:rPr>
                <w:b w:val="0"/>
              </w:rPr>
            </w:pPr>
            <w:r w:rsidRPr="00D058A7">
              <w:rPr>
                <w:b w:val="0"/>
              </w:rPr>
              <w:t>(</w:t>
            </w:r>
            <w:r w:rsidR="00277C08">
              <w:rPr>
                <w:b w:val="0"/>
              </w:rPr>
              <w:t>events</w:t>
            </w:r>
            <w:r w:rsidRPr="00D058A7">
              <w:rPr>
                <w:b w:val="0"/>
              </w:rPr>
              <w:t xml:space="preserve"> per participant-year)</w:t>
            </w:r>
          </w:p>
        </w:tc>
      </w:tr>
      <w:tr w:rsidR="00015B4D" w:rsidRPr="00647A52" w14:paraId="038492DC" w14:textId="77777777" w:rsidTr="002C201A">
        <w:tc>
          <w:tcPr>
            <w:tcW w:w="2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DBD2C" w14:textId="77777777" w:rsidR="00015B4D" w:rsidRPr="00D058A7" w:rsidRDefault="00015B4D" w:rsidP="002C201A">
            <w:pPr>
              <w:pStyle w:val="Heading3"/>
              <w:spacing w:line="360" w:lineRule="auto"/>
              <w:rPr>
                <w:b w:val="0"/>
              </w:rPr>
            </w:pPr>
            <w:r w:rsidRPr="00D058A7">
              <w:rPr>
                <w:b w:val="0"/>
              </w:rPr>
              <w:t>Hyperglycemia with ketosis</w:t>
            </w:r>
          </w:p>
        </w:tc>
        <w:tc>
          <w:tcPr>
            <w:tcW w:w="1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EEF84" w14:textId="77777777" w:rsidR="00015B4D" w:rsidRPr="00D058A7" w:rsidRDefault="00015B4D" w:rsidP="002C201A">
            <w:pPr>
              <w:pStyle w:val="Heading3"/>
              <w:spacing w:line="360" w:lineRule="auto"/>
              <w:rPr>
                <w:rFonts w:eastAsia="TimesNewRoman"/>
                <w:b w:val="0"/>
              </w:rPr>
            </w:pPr>
            <w:r w:rsidRPr="00D058A7">
              <w:rPr>
                <w:rFonts w:eastAsia="TimesNewRoman"/>
                <w:b w:val="0"/>
              </w:rPr>
              <w:t>15 (6.4)</w:t>
            </w:r>
          </w:p>
        </w:tc>
        <w:tc>
          <w:tcPr>
            <w:tcW w:w="1798" w:type="dxa"/>
            <w:shd w:val="clear" w:color="auto" w:fill="auto"/>
          </w:tcPr>
          <w:p w14:paraId="6E676D13" w14:textId="77777777" w:rsidR="00015B4D" w:rsidRPr="00D058A7" w:rsidRDefault="00015B4D" w:rsidP="002C201A">
            <w:pPr>
              <w:pStyle w:val="Heading3"/>
              <w:spacing w:line="360" w:lineRule="auto"/>
              <w:rPr>
                <w:rFonts w:eastAsia="TimesNewRoman"/>
                <w:b w:val="0"/>
              </w:rPr>
            </w:pPr>
            <w:r w:rsidRPr="00D058A7">
              <w:rPr>
                <w:rFonts w:eastAsia="TimesNewRoman"/>
                <w:b w:val="0"/>
              </w:rPr>
              <w:t>34 (0.30)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065BF" w14:textId="77777777" w:rsidR="00015B4D" w:rsidRPr="00D058A7" w:rsidRDefault="00015B4D" w:rsidP="002C201A">
            <w:pPr>
              <w:pStyle w:val="Heading3"/>
              <w:spacing w:line="360" w:lineRule="auto"/>
              <w:rPr>
                <w:rFonts w:eastAsia="TimesNewRoman"/>
                <w:b w:val="0"/>
              </w:rPr>
            </w:pPr>
            <w:r w:rsidRPr="00D058A7">
              <w:rPr>
                <w:rFonts w:eastAsia="TimesNewRoman"/>
                <w:b w:val="0"/>
              </w:rPr>
              <w:t>27 (11.8)</w:t>
            </w:r>
          </w:p>
        </w:tc>
        <w:tc>
          <w:tcPr>
            <w:tcW w:w="1800" w:type="dxa"/>
            <w:shd w:val="clear" w:color="auto" w:fill="auto"/>
          </w:tcPr>
          <w:p w14:paraId="25DBFCF9" w14:textId="77777777" w:rsidR="00015B4D" w:rsidRPr="00D058A7" w:rsidRDefault="00015B4D" w:rsidP="002C201A">
            <w:pPr>
              <w:pStyle w:val="Heading3"/>
              <w:spacing w:line="360" w:lineRule="auto"/>
              <w:rPr>
                <w:rFonts w:eastAsia="TimesNewRoman"/>
                <w:b w:val="0"/>
              </w:rPr>
            </w:pPr>
            <w:r w:rsidRPr="00D058A7">
              <w:rPr>
                <w:rFonts w:eastAsia="TimesNewRoman"/>
                <w:b w:val="0"/>
              </w:rPr>
              <w:t>46 (0.41)</w:t>
            </w:r>
          </w:p>
        </w:tc>
      </w:tr>
      <w:tr w:rsidR="00015B4D" w:rsidRPr="00647A52" w14:paraId="340B8C9C" w14:textId="77777777" w:rsidTr="002C201A">
        <w:tc>
          <w:tcPr>
            <w:tcW w:w="2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2B075" w14:textId="77777777" w:rsidR="00015B4D" w:rsidRPr="00D058A7" w:rsidRDefault="00015B4D" w:rsidP="002C201A">
            <w:pPr>
              <w:pStyle w:val="Heading3"/>
              <w:spacing w:line="360" w:lineRule="auto"/>
              <w:rPr>
                <w:b w:val="0"/>
              </w:rPr>
            </w:pPr>
            <w:r w:rsidRPr="00D058A7">
              <w:rPr>
                <w:b w:val="0"/>
              </w:rPr>
              <w:t>Ketosis</w:t>
            </w:r>
          </w:p>
        </w:tc>
        <w:tc>
          <w:tcPr>
            <w:tcW w:w="1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2443" w14:textId="77777777" w:rsidR="00015B4D" w:rsidRPr="00D058A7" w:rsidRDefault="00015B4D" w:rsidP="002C201A">
            <w:pPr>
              <w:pStyle w:val="Heading3"/>
              <w:spacing w:line="360" w:lineRule="auto"/>
              <w:rPr>
                <w:rFonts w:eastAsia="TimesNewRoman"/>
                <w:b w:val="0"/>
              </w:rPr>
            </w:pPr>
            <w:r w:rsidRPr="00D058A7">
              <w:rPr>
                <w:rFonts w:eastAsia="TimesNewRoman"/>
                <w:b w:val="0"/>
              </w:rPr>
              <w:t>15 (6.4)</w:t>
            </w:r>
          </w:p>
        </w:tc>
        <w:tc>
          <w:tcPr>
            <w:tcW w:w="1798" w:type="dxa"/>
            <w:shd w:val="clear" w:color="auto" w:fill="auto"/>
          </w:tcPr>
          <w:p w14:paraId="4ED3FB2D" w14:textId="77777777" w:rsidR="00015B4D" w:rsidRPr="00D058A7" w:rsidRDefault="00015B4D" w:rsidP="002C201A">
            <w:pPr>
              <w:pStyle w:val="Heading3"/>
              <w:spacing w:line="360" w:lineRule="auto"/>
              <w:rPr>
                <w:rFonts w:eastAsia="TimesNewRoman"/>
                <w:b w:val="0"/>
              </w:rPr>
            </w:pPr>
            <w:r w:rsidRPr="00D058A7">
              <w:rPr>
                <w:rFonts w:eastAsia="TimesNewRoman"/>
                <w:b w:val="0"/>
              </w:rPr>
              <w:t>33 (0.29)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7C936" w14:textId="77777777" w:rsidR="00015B4D" w:rsidRPr="00D058A7" w:rsidRDefault="00015B4D" w:rsidP="002C201A">
            <w:pPr>
              <w:pStyle w:val="Heading3"/>
              <w:spacing w:line="360" w:lineRule="auto"/>
              <w:rPr>
                <w:rFonts w:eastAsia="TimesNewRoman"/>
                <w:b w:val="0"/>
              </w:rPr>
            </w:pPr>
            <w:r w:rsidRPr="00D058A7">
              <w:rPr>
                <w:rFonts w:eastAsia="TimesNewRoman"/>
                <w:b w:val="0"/>
              </w:rPr>
              <w:t>23 (10.1)</w:t>
            </w:r>
          </w:p>
        </w:tc>
        <w:tc>
          <w:tcPr>
            <w:tcW w:w="1800" w:type="dxa"/>
            <w:shd w:val="clear" w:color="auto" w:fill="auto"/>
          </w:tcPr>
          <w:p w14:paraId="03CEEA9F" w14:textId="77777777" w:rsidR="00015B4D" w:rsidRPr="00D058A7" w:rsidRDefault="00015B4D" w:rsidP="002C201A">
            <w:pPr>
              <w:pStyle w:val="Heading3"/>
              <w:spacing w:line="360" w:lineRule="auto"/>
              <w:rPr>
                <w:rFonts w:eastAsia="TimesNewRoman"/>
                <w:b w:val="0"/>
              </w:rPr>
            </w:pPr>
            <w:r w:rsidRPr="00D058A7">
              <w:rPr>
                <w:rFonts w:eastAsia="TimesNewRoman"/>
                <w:b w:val="0"/>
              </w:rPr>
              <w:t>41 (0.37)</w:t>
            </w:r>
          </w:p>
        </w:tc>
      </w:tr>
      <w:tr w:rsidR="00015B4D" w:rsidRPr="00647A52" w14:paraId="2BCBC628" w14:textId="77777777" w:rsidTr="002C201A">
        <w:tc>
          <w:tcPr>
            <w:tcW w:w="242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E1503" w14:textId="77777777" w:rsidR="00015B4D" w:rsidRPr="00D058A7" w:rsidRDefault="00015B4D" w:rsidP="002C201A">
            <w:pPr>
              <w:pStyle w:val="Heading3"/>
              <w:spacing w:line="360" w:lineRule="auto"/>
              <w:rPr>
                <w:b w:val="0"/>
              </w:rPr>
            </w:pPr>
            <w:r w:rsidRPr="00D058A7">
              <w:rPr>
                <w:b w:val="0"/>
              </w:rPr>
              <w:t>Diabetic ketoacidosis</w:t>
            </w:r>
            <w:r w:rsidRPr="00D058A7">
              <w:rPr>
                <w:b w:val="0"/>
                <w:vertAlign w:val="superscript"/>
              </w:rPr>
              <w:t>†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8F3D9" w14:textId="77777777" w:rsidR="00015B4D" w:rsidRPr="00D058A7" w:rsidRDefault="00015B4D" w:rsidP="002C201A">
            <w:pPr>
              <w:pStyle w:val="Heading3"/>
              <w:spacing w:line="360" w:lineRule="auto"/>
              <w:rPr>
                <w:b w:val="0"/>
              </w:rPr>
            </w:pPr>
            <w:r w:rsidRPr="00D058A7">
              <w:rPr>
                <w:b w:val="0"/>
              </w:rPr>
              <w:t>1 (0.4)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14:paraId="6B4FAAEA" w14:textId="77777777" w:rsidR="00015B4D" w:rsidRPr="00D058A7" w:rsidRDefault="00015B4D" w:rsidP="002C201A">
            <w:pPr>
              <w:pStyle w:val="Heading3"/>
              <w:spacing w:line="360" w:lineRule="auto"/>
              <w:rPr>
                <w:b w:val="0"/>
              </w:rPr>
            </w:pPr>
            <w:r w:rsidRPr="00D058A7">
              <w:rPr>
                <w:b w:val="0"/>
              </w:rPr>
              <w:t>1 (0.01)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CC01A" w14:textId="77777777" w:rsidR="00015B4D" w:rsidRPr="00D058A7" w:rsidRDefault="00015B4D" w:rsidP="002C201A">
            <w:pPr>
              <w:pStyle w:val="Heading3"/>
              <w:spacing w:line="360" w:lineRule="auto"/>
              <w:rPr>
                <w:b w:val="0"/>
              </w:rPr>
            </w:pPr>
            <w:r w:rsidRPr="00D058A7">
              <w:rPr>
                <w:b w:val="0"/>
              </w:rPr>
              <w:t>4 (1.8)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3429145" w14:textId="77777777" w:rsidR="00015B4D" w:rsidRPr="00D058A7" w:rsidRDefault="00015B4D" w:rsidP="002C201A">
            <w:pPr>
              <w:pStyle w:val="Heading3"/>
              <w:spacing w:line="360" w:lineRule="auto"/>
              <w:rPr>
                <w:b w:val="0"/>
              </w:rPr>
            </w:pPr>
            <w:r w:rsidRPr="00D058A7">
              <w:rPr>
                <w:b w:val="0"/>
              </w:rPr>
              <w:t>5 (0.04)</w:t>
            </w:r>
          </w:p>
        </w:tc>
      </w:tr>
    </w:tbl>
    <w:p w14:paraId="437DA7F4" w14:textId="77777777" w:rsidR="00015B4D" w:rsidRPr="00BB429B" w:rsidRDefault="00015B4D" w:rsidP="00015B4D">
      <w:pPr>
        <w:spacing w:line="360" w:lineRule="auto"/>
      </w:pPr>
      <w:r w:rsidRPr="00BB429B">
        <w:t xml:space="preserve">*A single descriptor for a defined medical condition or area of interest, defined by MedDRA. </w:t>
      </w:r>
      <w:r w:rsidRPr="00D058A7">
        <w:rPr>
          <w:vertAlign w:val="superscript"/>
        </w:rPr>
        <w:t>†</w:t>
      </w:r>
      <w:r w:rsidRPr="00BB429B">
        <w:t xml:space="preserve">Incidence and event rates of diabetic ketoacidosis were reported as SAEs      </w:t>
      </w:r>
    </w:p>
    <w:p w14:paraId="46A107B1" w14:textId="77777777" w:rsidR="00015B4D" w:rsidRPr="00BB429B" w:rsidRDefault="00015B4D" w:rsidP="00015B4D">
      <w:pPr>
        <w:spacing w:line="360" w:lineRule="auto"/>
      </w:pPr>
      <w:r w:rsidRPr="00BB429B">
        <w:t>MedDRA, Medical Dictionary for Regulatory Activities; SAE, serious adverse event; TEAE, treatment emergent adverse event</w:t>
      </w:r>
    </w:p>
    <w:p w14:paraId="2AB0F927" w14:textId="77777777" w:rsidR="00015B4D" w:rsidRDefault="00015B4D" w:rsidP="00015B4D">
      <w:pPr>
        <w:spacing w:line="360" w:lineRule="auto"/>
      </w:pPr>
      <w:r>
        <w:br w:type="page"/>
      </w:r>
    </w:p>
    <w:p w14:paraId="62531D90" w14:textId="77777777" w:rsidR="00015B4D" w:rsidRPr="00EA4D36" w:rsidRDefault="00015B4D" w:rsidP="00015B4D">
      <w:pPr>
        <w:pStyle w:val="Heading3"/>
      </w:pPr>
      <w:r w:rsidRPr="00EA4D36">
        <w:lastRenderedPageBreak/>
        <w:t>Supplementary Figure 1. Participant flow diagram during the main 6-month treatment period and 6-month safety extension period</w:t>
      </w:r>
    </w:p>
    <w:p w14:paraId="29A219B2" w14:textId="77777777" w:rsidR="00015B4D" w:rsidRPr="00BB429B" w:rsidRDefault="00015B4D" w:rsidP="00015B4D">
      <w:pPr>
        <w:spacing w:line="360" w:lineRule="auto"/>
      </w:pPr>
      <w:r w:rsidRPr="00ED5D8F">
        <w:rPr>
          <w:noProof/>
        </w:rPr>
        <w:drawing>
          <wp:inline distT="0" distB="0" distL="0" distR="0" wp14:anchorId="0B320074" wp14:editId="184825F4">
            <wp:extent cx="5731510" cy="4185285"/>
            <wp:effectExtent l="0" t="0" r="2540" b="571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8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08938" w14:textId="77777777" w:rsidR="00015B4D" w:rsidRPr="00BB429B" w:rsidRDefault="00015B4D" w:rsidP="00015B4D">
      <w:pPr>
        <w:spacing w:line="360" w:lineRule="auto"/>
      </w:pPr>
    </w:p>
    <w:p w14:paraId="575D1517" w14:textId="77777777" w:rsidR="00015B4D" w:rsidRDefault="00015B4D" w:rsidP="00015B4D">
      <w:pPr>
        <w:spacing w:line="360" w:lineRule="auto"/>
      </w:pPr>
      <w:r>
        <w:br w:type="page"/>
      </w:r>
    </w:p>
    <w:p w14:paraId="143DDC35" w14:textId="23128A28" w:rsidR="002F670A" w:rsidRPr="00EA4D36" w:rsidRDefault="002F670A" w:rsidP="002F670A">
      <w:pPr>
        <w:pStyle w:val="Heading3"/>
      </w:pPr>
      <w:r w:rsidRPr="00EA4D36">
        <w:lastRenderedPageBreak/>
        <w:t xml:space="preserve">Supplementary Figure </w:t>
      </w:r>
      <w:r>
        <w:t>2</w:t>
      </w:r>
      <w:r w:rsidRPr="00EA4D36">
        <w:t xml:space="preserve">. </w:t>
      </w:r>
      <w:r w:rsidR="002C4A16">
        <w:t xml:space="preserve">Time course of mean daily </w:t>
      </w:r>
      <w:r w:rsidR="00181F58">
        <w:t xml:space="preserve">total, </w:t>
      </w:r>
      <w:r w:rsidR="002C4A16">
        <w:t>basal</w:t>
      </w:r>
      <w:r w:rsidR="00181F58">
        <w:t xml:space="preserve">, </w:t>
      </w:r>
      <w:r w:rsidR="002C4A16">
        <w:t>and mealtime insulin dose over the entire 12-month study (safety population)</w:t>
      </w:r>
    </w:p>
    <w:p w14:paraId="60E38A4F" w14:textId="7326FA67" w:rsidR="002F670A" w:rsidRDefault="00181F58">
      <w:pPr>
        <w:spacing w:line="259" w:lineRule="auto"/>
        <w:rPr>
          <w:rFonts w:eastAsiaTheme="majorEastAsia" w:cstheme="majorBidi"/>
          <w:b/>
        </w:rPr>
      </w:pPr>
      <w:r>
        <w:rPr>
          <w:noProof/>
        </w:rPr>
        <w:drawing>
          <wp:inline distT="0" distB="0" distL="0" distR="0" wp14:anchorId="30DB7561" wp14:editId="0230ADF1">
            <wp:extent cx="5777230" cy="36095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839" cy="3621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670A">
        <w:br w:type="page"/>
      </w:r>
    </w:p>
    <w:p w14:paraId="28FEF4D7" w14:textId="72465B7F" w:rsidR="00015B4D" w:rsidRPr="00BB429B" w:rsidRDefault="00015B4D" w:rsidP="00015B4D">
      <w:pPr>
        <w:pStyle w:val="Heading3"/>
        <w:spacing w:line="360" w:lineRule="auto"/>
      </w:pPr>
      <w:r w:rsidRPr="00BB429B">
        <w:lastRenderedPageBreak/>
        <w:t xml:space="preserve">Supplementary Figure </w:t>
      </w:r>
      <w:r w:rsidR="00E00693">
        <w:t>3</w:t>
      </w:r>
      <w:r w:rsidRPr="00BB429B">
        <w:t>. (A) Relative risk of participants experiencing anytime and nocturnal hypoglycemia and (B) rate ratios of anytime and nocturnal hypoglycemia, for Gla-300 versus Gla-100, during the main 6-month treatment period (safety population)</w:t>
      </w:r>
    </w:p>
    <w:p w14:paraId="58039BA5" w14:textId="77777777" w:rsidR="00015B4D" w:rsidRPr="00BB429B" w:rsidRDefault="00015B4D" w:rsidP="00015B4D">
      <w:pPr>
        <w:spacing w:line="360" w:lineRule="auto"/>
      </w:pPr>
      <w:r w:rsidRPr="00ED5D8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E4C3E1" wp14:editId="3D3B5818">
                <wp:simplePos x="0" y="0"/>
                <wp:positionH relativeFrom="column">
                  <wp:posOffset>-342900</wp:posOffset>
                </wp:positionH>
                <wp:positionV relativeFrom="paragraph">
                  <wp:posOffset>203835</wp:posOffset>
                </wp:positionV>
                <wp:extent cx="323850" cy="361950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9CAF1" w14:textId="77777777" w:rsidR="00015B4D" w:rsidRDefault="00015B4D" w:rsidP="00015B4D">
                            <w: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4C3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16.05pt;width:25.5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" stroked="f">
                <v:textbox>
                  <w:txbxContent>
                    <w:p w14:paraId="6BC9CAF1" w14:textId="77777777" w:rsidR="00015B4D" w:rsidRDefault="00015B4D" w:rsidP="00015B4D">
                      <w:r>
                        <w:t>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B429B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AF63E4" wp14:editId="6B97ED21">
                <wp:simplePos x="0" y="0"/>
                <wp:positionH relativeFrom="column">
                  <wp:posOffset>-342900</wp:posOffset>
                </wp:positionH>
                <wp:positionV relativeFrom="paragraph">
                  <wp:posOffset>203835</wp:posOffset>
                </wp:positionV>
                <wp:extent cx="323850" cy="3619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31498" w14:textId="77777777" w:rsidR="00015B4D" w:rsidRDefault="00015B4D" w:rsidP="00015B4D">
                            <w: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F63E4" id="_x0000_s1027" type="#_x0000_t202" style="position:absolute;margin-left:-27pt;margin-top:16.05pt;width:25.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" stroked="f">
                <v:textbox>
                  <w:txbxContent>
                    <w:p w14:paraId="13631498" w14:textId="77777777" w:rsidR="00015B4D" w:rsidRDefault="00015B4D" w:rsidP="00015B4D">
                      <w:r>
                        <w:t>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76E3FB" w14:textId="77777777" w:rsidR="00015B4D" w:rsidRPr="00BB429B" w:rsidRDefault="00015B4D" w:rsidP="00015B4D">
      <w:pPr>
        <w:spacing w:line="360" w:lineRule="auto"/>
      </w:pPr>
      <w:r w:rsidRPr="00ED5D8F">
        <w:rPr>
          <w:noProof/>
        </w:rPr>
        <w:drawing>
          <wp:inline distT="0" distB="0" distL="0" distR="0" wp14:anchorId="3E70F9E2" wp14:editId="0F2F265A">
            <wp:extent cx="5731510" cy="2445385"/>
            <wp:effectExtent l="0" t="0" r="254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4E242" w14:textId="77777777" w:rsidR="00015B4D" w:rsidRPr="00BB429B" w:rsidRDefault="00015B4D" w:rsidP="00015B4D">
      <w:pPr>
        <w:spacing w:line="360" w:lineRule="auto"/>
      </w:pPr>
      <w:r w:rsidRPr="00ED5D8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DEF69B" wp14:editId="6AA75CB7">
                <wp:simplePos x="0" y="0"/>
                <wp:positionH relativeFrom="column">
                  <wp:posOffset>-323850</wp:posOffset>
                </wp:positionH>
                <wp:positionV relativeFrom="paragraph">
                  <wp:posOffset>111935</wp:posOffset>
                </wp:positionV>
                <wp:extent cx="323850" cy="361950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19B28" w14:textId="77777777" w:rsidR="00015B4D" w:rsidRDefault="00015B4D" w:rsidP="00015B4D">
                            <w:r>
                              <w:t>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EF69B" id="_x0000_s1028" type="#_x0000_t202" style="position:absolute;margin-left:-25.5pt;margin-top:8.8pt;width:25.5pt;height:2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" stroked="f">
                <v:textbox>
                  <w:txbxContent>
                    <w:p w14:paraId="06819B28" w14:textId="77777777" w:rsidR="00015B4D" w:rsidRDefault="00015B4D" w:rsidP="00015B4D">
                      <w:r>
                        <w:t>B)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B429B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9CD277" wp14:editId="6842EDFA">
                <wp:simplePos x="0" y="0"/>
                <wp:positionH relativeFrom="column">
                  <wp:posOffset>-323850</wp:posOffset>
                </wp:positionH>
                <wp:positionV relativeFrom="paragraph">
                  <wp:posOffset>111935</wp:posOffset>
                </wp:positionV>
                <wp:extent cx="323850" cy="36195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9437A" w14:textId="77777777" w:rsidR="00015B4D" w:rsidRDefault="00015B4D" w:rsidP="00015B4D">
                            <w:r>
                              <w:t>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CD277" id="_x0000_s1029" type="#_x0000_t202" style="position:absolute;margin-left:-25.5pt;margin-top:8.8pt;width:25.5pt;height:2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" stroked="f">
                <v:textbox>
                  <w:txbxContent>
                    <w:p w14:paraId="2989437A" w14:textId="77777777" w:rsidR="00015B4D" w:rsidRDefault="00015B4D" w:rsidP="00015B4D">
                      <w:r>
                        <w:t>B)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38E228" w14:textId="77777777" w:rsidR="00015B4D" w:rsidRPr="00BB429B" w:rsidRDefault="00015B4D" w:rsidP="00015B4D">
      <w:pPr>
        <w:spacing w:line="360" w:lineRule="auto"/>
      </w:pPr>
      <w:r w:rsidRPr="00ED5D8F">
        <w:rPr>
          <w:noProof/>
        </w:rPr>
        <w:drawing>
          <wp:inline distT="0" distB="0" distL="0" distR="0" wp14:anchorId="6AB08C59" wp14:editId="12052E31">
            <wp:extent cx="5731510" cy="2406650"/>
            <wp:effectExtent l="0" t="0" r="254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8ECD3" w14:textId="3E49B652" w:rsidR="00015B4D" w:rsidRDefault="00015B4D" w:rsidP="00015B4D">
      <w:pPr>
        <w:spacing w:line="360" w:lineRule="auto"/>
      </w:pPr>
      <w:r w:rsidRPr="00BB429B">
        <w:t>CI, confidence interval</w:t>
      </w:r>
    </w:p>
    <w:p w14:paraId="2CE43DBC" w14:textId="5591FB29" w:rsidR="002C4F52" w:rsidRDefault="002C4F52">
      <w:pPr>
        <w:spacing w:line="259" w:lineRule="auto"/>
      </w:pPr>
      <w:r>
        <w:br w:type="page"/>
      </w:r>
    </w:p>
    <w:p w14:paraId="001A5B2B" w14:textId="19D9DE58" w:rsidR="002C4F52" w:rsidRPr="00BB429B" w:rsidRDefault="002C4F52" w:rsidP="002C4F52">
      <w:pPr>
        <w:pStyle w:val="Heading3"/>
        <w:spacing w:line="360" w:lineRule="auto"/>
      </w:pPr>
      <w:bookmarkStart w:id="0" w:name="_GoBack"/>
      <w:bookmarkEnd w:id="0"/>
      <w:r w:rsidRPr="00BB429B">
        <w:lastRenderedPageBreak/>
        <w:t xml:space="preserve">Supplementary Figure </w:t>
      </w:r>
      <w:r w:rsidR="00E00693">
        <w:t>4</w:t>
      </w:r>
      <w:r w:rsidRPr="00BB429B">
        <w:t xml:space="preserve">. </w:t>
      </w:r>
      <w:r>
        <w:t>Cumulative mean number of hypoglycaemia events</w:t>
      </w:r>
      <w:r w:rsidR="00277C08">
        <w:t xml:space="preserve"> per participant</w:t>
      </w:r>
      <w:r>
        <w:t xml:space="preserve"> at any</w:t>
      </w:r>
      <w:r w:rsidR="0042564F">
        <w:t xml:space="preserve"> </w:t>
      </w:r>
      <w:r>
        <w:t>time of day (24 h)</w:t>
      </w:r>
      <w:r w:rsidR="00743797">
        <w:t xml:space="preserve"> during the </w:t>
      </w:r>
      <w:r w:rsidR="00E3475F">
        <w:t xml:space="preserve">entire </w:t>
      </w:r>
      <w:r w:rsidR="00743797">
        <w:t>12</w:t>
      </w:r>
      <w:r w:rsidR="00E3475F">
        <w:t xml:space="preserve">-month </w:t>
      </w:r>
      <w:r w:rsidR="00BC5613">
        <w:t>treatment</w:t>
      </w:r>
      <w:r w:rsidR="00E3475F">
        <w:t xml:space="preserve"> period</w:t>
      </w:r>
      <w:r>
        <w:t xml:space="preserve">: </w:t>
      </w:r>
      <w:r w:rsidRPr="00BB429B">
        <w:t xml:space="preserve">(A) </w:t>
      </w:r>
      <w:r w:rsidR="0042564F">
        <w:t xml:space="preserve">severe or documented </w:t>
      </w:r>
      <w:r w:rsidR="00277C08">
        <w:t>(</w:t>
      </w:r>
      <w:r w:rsidR="0042564F">
        <w:rPr>
          <w:rFonts w:cs="Arial"/>
        </w:rPr>
        <w:t xml:space="preserve">≤70 mg/dL </w:t>
      </w:r>
      <w:r w:rsidR="00277C08">
        <w:rPr>
          <w:rFonts w:cs="Arial"/>
        </w:rPr>
        <w:t>[</w:t>
      </w:r>
      <w:r w:rsidR="0042564F">
        <w:rPr>
          <w:rFonts w:cs="Arial"/>
        </w:rPr>
        <w:t>≤3.9 mmol/L</w:t>
      </w:r>
      <w:r w:rsidR="00277C08">
        <w:rPr>
          <w:rFonts w:cs="Arial"/>
        </w:rPr>
        <w:t>]</w:t>
      </w:r>
      <w:r w:rsidR="0042564F">
        <w:rPr>
          <w:rFonts w:cs="Arial"/>
        </w:rPr>
        <w:t xml:space="preserve">) events; </w:t>
      </w:r>
      <w:r w:rsidRPr="00BB429B">
        <w:t>(B)</w:t>
      </w:r>
      <w:r w:rsidR="0042564F">
        <w:t xml:space="preserve"> severe events</w:t>
      </w:r>
      <w:r w:rsidRPr="00BB429B">
        <w:t xml:space="preserve"> (safety population)</w:t>
      </w:r>
    </w:p>
    <w:p w14:paraId="70399B8D" w14:textId="7202F8FC" w:rsidR="00E3475F" w:rsidRDefault="00E3475F" w:rsidP="00015B4D">
      <w:pPr>
        <w:spacing w:line="360" w:lineRule="auto"/>
        <w:rPr>
          <w:noProof/>
        </w:rPr>
      </w:pPr>
    </w:p>
    <w:p w14:paraId="5391608E" w14:textId="3F5010A8" w:rsidR="00D11608" w:rsidRDefault="007431D6" w:rsidP="00BA2E1D">
      <w:pPr>
        <w:spacing w:line="360" w:lineRule="auto"/>
      </w:pPr>
      <w:r>
        <w:rPr>
          <w:noProof/>
        </w:rPr>
        <w:drawing>
          <wp:inline distT="0" distB="0" distL="0" distR="0" wp14:anchorId="142CAA22" wp14:editId="498E76A4">
            <wp:extent cx="5731510" cy="72104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1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1608" w:rsidSect="00EF3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EA1BD" w14:textId="77777777" w:rsidR="00AF3F22" w:rsidRDefault="00AF3F22" w:rsidP="00AF3F22">
      <w:pPr>
        <w:spacing w:after="0" w:line="240" w:lineRule="auto"/>
      </w:pPr>
      <w:r>
        <w:separator/>
      </w:r>
    </w:p>
  </w:endnote>
  <w:endnote w:type="continuationSeparator" w:id="0">
    <w:p w14:paraId="7874AC4C" w14:textId="77777777" w:rsidR="00AF3F22" w:rsidRDefault="00AF3F22" w:rsidP="00AF3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D0211" w14:textId="77777777" w:rsidR="00AF3F22" w:rsidRDefault="00AF3F22" w:rsidP="00AF3F22">
      <w:pPr>
        <w:spacing w:after="0" w:line="240" w:lineRule="auto"/>
      </w:pPr>
      <w:r>
        <w:separator/>
      </w:r>
    </w:p>
  </w:footnote>
  <w:footnote w:type="continuationSeparator" w:id="0">
    <w:p w14:paraId="3E86C8AD" w14:textId="77777777" w:rsidR="00AF3F22" w:rsidRDefault="00AF3F22" w:rsidP="00AF3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01A9C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850822"/>
    <w:multiLevelType w:val="hybridMultilevel"/>
    <w:tmpl w:val="D69C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A6A07"/>
    <w:multiLevelType w:val="hybridMultilevel"/>
    <w:tmpl w:val="D6BEC23C"/>
    <w:lvl w:ilvl="0" w:tplc="54EE9EE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6D2B4C"/>
    <w:multiLevelType w:val="hybridMultilevel"/>
    <w:tmpl w:val="9C6EC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DateAndTime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B4D"/>
    <w:rsid w:val="00000980"/>
    <w:rsid w:val="000036C9"/>
    <w:rsid w:val="00004F42"/>
    <w:rsid w:val="000053F1"/>
    <w:rsid w:val="000068A8"/>
    <w:rsid w:val="00007265"/>
    <w:rsid w:val="00012A8F"/>
    <w:rsid w:val="00014643"/>
    <w:rsid w:val="00014D61"/>
    <w:rsid w:val="00015170"/>
    <w:rsid w:val="000158A3"/>
    <w:rsid w:val="00015B4D"/>
    <w:rsid w:val="00016E57"/>
    <w:rsid w:val="000174B8"/>
    <w:rsid w:val="000229C9"/>
    <w:rsid w:val="00022EAE"/>
    <w:rsid w:val="00022F90"/>
    <w:rsid w:val="0002396E"/>
    <w:rsid w:val="0002472D"/>
    <w:rsid w:val="00024C0A"/>
    <w:rsid w:val="00025A2D"/>
    <w:rsid w:val="000268EE"/>
    <w:rsid w:val="00026BAF"/>
    <w:rsid w:val="00026D38"/>
    <w:rsid w:val="00027BEE"/>
    <w:rsid w:val="00027F00"/>
    <w:rsid w:val="00033A17"/>
    <w:rsid w:val="00033DB9"/>
    <w:rsid w:val="0003470D"/>
    <w:rsid w:val="00034B44"/>
    <w:rsid w:val="00036949"/>
    <w:rsid w:val="00037077"/>
    <w:rsid w:val="0003766A"/>
    <w:rsid w:val="00040578"/>
    <w:rsid w:val="00044F0E"/>
    <w:rsid w:val="00045B36"/>
    <w:rsid w:val="00050AEC"/>
    <w:rsid w:val="00050CD9"/>
    <w:rsid w:val="00051749"/>
    <w:rsid w:val="000532B3"/>
    <w:rsid w:val="00053C4B"/>
    <w:rsid w:val="00060EEE"/>
    <w:rsid w:val="00061CC4"/>
    <w:rsid w:val="00062F96"/>
    <w:rsid w:val="00064A19"/>
    <w:rsid w:val="000650B6"/>
    <w:rsid w:val="0006570F"/>
    <w:rsid w:val="00066CB4"/>
    <w:rsid w:val="0006711D"/>
    <w:rsid w:val="00067661"/>
    <w:rsid w:val="00070B44"/>
    <w:rsid w:val="000718AD"/>
    <w:rsid w:val="00071C27"/>
    <w:rsid w:val="000720BE"/>
    <w:rsid w:val="0007338E"/>
    <w:rsid w:val="00073F80"/>
    <w:rsid w:val="00074311"/>
    <w:rsid w:val="000745E8"/>
    <w:rsid w:val="000746DA"/>
    <w:rsid w:val="0007766F"/>
    <w:rsid w:val="0007767B"/>
    <w:rsid w:val="000778A5"/>
    <w:rsid w:val="00081BA0"/>
    <w:rsid w:val="00082B3E"/>
    <w:rsid w:val="00084817"/>
    <w:rsid w:val="00087883"/>
    <w:rsid w:val="00087EB8"/>
    <w:rsid w:val="00087F92"/>
    <w:rsid w:val="000948FE"/>
    <w:rsid w:val="00094A13"/>
    <w:rsid w:val="000968C5"/>
    <w:rsid w:val="0009690D"/>
    <w:rsid w:val="00097452"/>
    <w:rsid w:val="00097EF0"/>
    <w:rsid w:val="000A0ED1"/>
    <w:rsid w:val="000A14B6"/>
    <w:rsid w:val="000A1D16"/>
    <w:rsid w:val="000A2CB1"/>
    <w:rsid w:val="000A3FD5"/>
    <w:rsid w:val="000A4E9C"/>
    <w:rsid w:val="000A5BC0"/>
    <w:rsid w:val="000A7E7E"/>
    <w:rsid w:val="000A7E81"/>
    <w:rsid w:val="000B3A8C"/>
    <w:rsid w:val="000B4A38"/>
    <w:rsid w:val="000B4F06"/>
    <w:rsid w:val="000B5859"/>
    <w:rsid w:val="000C04FA"/>
    <w:rsid w:val="000C24EF"/>
    <w:rsid w:val="000C27B4"/>
    <w:rsid w:val="000C2C66"/>
    <w:rsid w:val="000C2FD3"/>
    <w:rsid w:val="000C35F2"/>
    <w:rsid w:val="000C36E2"/>
    <w:rsid w:val="000C3A92"/>
    <w:rsid w:val="000C3D16"/>
    <w:rsid w:val="000C4374"/>
    <w:rsid w:val="000C5F2E"/>
    <w:rsid w:val="000C6823"/>
    <w:rsid w:val="000D0820"/>
    <w:rsid w:val="000D1D94"/>
    <w:rsid w:val="000D3975"/>
    <w:rsid w:val="000D512B"/>
    <w:rsid w:val="000D5278"/>
    <w:rsid w:val="000D5437"/>
    <w:rsid w:val="000D571A"/>
    <w:rsid w:val="000D5FA8"/>
    <w:rsid w:val="000E0045"/>
    <w:rsid w:val="000E0BDD"/>
    <w:rsid w:val="000E253E"/>
    <w:rsid w:val="000E373D"/>
    <w:rsid w:val="000E41CF"/>
    <w:rsid w:val="000E5FCC"/>
    <w:rsid w:val="000E6BB0"/>
    <w:rsid w:val="000E6F43"/>
    <w:rsid w:val="000F0776"/>
    <w:rsid w:val="000F0E59"/>
    <w:rsid w:val="000F2B6D"/>
    <w:rsid w:val="000F4B77"/>
    <w:rsid w:val="000F5C1B"/>
    <w:rsid w:val="000F5EC7"/>
    <w:rsid w:val="000F76BC"/>
    <w:rsid w:val="000F7D8A"/>
    <w:rsid w:val="0010197A"/>
    <w:rsid w:val="00101A3D"/>
    <w:rsid w:val="0010277B"/>
    <w:rsid w:val="001033B1"/>
    <w:rsid w:val="00103E51"/>
    <w:rsid w:val="00104BCF"/>
    <w:rsid w:val="00104D7A"/>
    <w:rsid w:val="00107564"/>
    <w:rsid w:val="001111D3"/>
    <w:rsid w:val="0011171D"/>
    <w:rsid w:val="00111BCB"/>
    <w:rsid w:val="00111F5E"/>
    <w:rsid w:val="001121C9"/>
    <w:rsid w:val="00112EFC"/>
    <w:rsid w:val="0011353D"/>
    <w:rsid w:val="001153F4"/>
    <w:rsid w:val="001162E9"/>
    <w:rsid w:val="0011635D"/>
    <w:rsid w:val="00121502"/>
    <w:rsid w:val="001220F8"/>
    <w:rsid w:val="00122A9F"/>
    <w:rsid w:val="00123105"/>
    <w:rsid w:val="0013019C"/>
    <w:rsid w:val="001308DB"/>
    <w:rsid w:val="001335EF"/>
    <w:rsid w:val="00135AF2"/>
    <w:rsid w:val="00135FD1"/>
    <w:rsid w:val="001361D3"/>
    <w:rsid w:val="001368AA"/>
    <w:rsid w:val="00136B72"/>
    <w:rsid w:val="00136DCE"/>
    <w:rsid w:val="00141414"/>
    <w:rsid w:val="00143524"/>
    <w:rsid w:val="0014395E"/>
    <w:rsid w:val="00144158"/>
    <w:rsid w:val="001442D4"/>
    <w:rsid w:val="0014697B"/>
    <w:rsid w:val="00147FA3"/>
    <w:rsid w:val="00150C4C"/>
    <w:rsid w:val="00150CE2"/>
    <w:rsid w:val="0015150C"/>
    <w:rsid w:val="00152930"/>
    <w:rsid w:val="0015516B"/>
    <w:rsid w:val="00157CD3"/>
    <w:rsid w:val="00162339"/>
    <w:rsid w:val="00162E85"/>
    <w:rsid w:val="00165637"/>
    <w:rsid w:val="001665BB"/>
    <w:rsid w:val="00170EC6"/>
    <w:rsid w:val="00173318"/>
    <w:rsid w:val="0017365F"/>
    <w:rsid w:val="00174D60"/>
    <w:rsid w:val="00176A08"/>
    <w:rsid w:val="001771C1"/>
    <w:rsid w:val="00177BE3"/>
    <w:rsid w:val="00177D3D"/>
    <w:rsid w:val="00180B5B"/>
    <w:rsid w:val="00181F58"/>
    <w:rsid w:val="00183738"/>
    <w:rsid w:val="001864E3"/>
    <w:rsid w:val="0018697C"/>
    <w:rsid w:val="001869C9"/>
    <w:rsid w:val="00187D76"/>
    <w:rsid w:val="00191F9E"/>
    <w:rsid w:val="001921D1"/>
    <w:rsid w:val="001930CA"/>
    <w:rsid w:val="00193DAF"/>
    <w:rsid w:val="00194C1E"/>
    <w:rsid w:val="00194DF1"/>
    <w:rsid w:val="001968FB"/>
    <w:rsid w:val="001A0153"/>
    <w:rsid w:val="001A1AF5"/>
    <w:rsid w:val="001A2FA0"/>
    <w:rsid w:val="001A4095"/>
    <w:rsid w:val="001A4C4D"/>
    <w:rsid w:val="001A526D"/>
    <w:rsid w:val="001A5660"/>
    <w:rsid w:val="001A578F"/>
    <w:rsid w:val="001B0356"/>
    <w:rsid w:val="001B1FFA"/>
    <w:rsid w:val="001B20CC"/>
    <w:rsid w:val="001B2212"/>
    <w:rsid w:val="001B34CA"/>
    <w:rsid w:val="001B3E90"/>
    <w:rsid w:val="001B4DAF"/>
    <w:rsid w:val="001C05EC"/>
    <w:rsid w:val="001C1A27"/>
    <w:rsid w:val="001C1ADE"/>
    <w:rsid w:val="001C34DA"/>
    <w:rsid w:val="001C4CA7"/>
    <w:rsid w:val="001C5715"/>
    <w:rsid w:val="001C63F1"/>
    <w:rsid w:val="001C72AB"/>
    <w:rsid w:val="001C7A22"/>
    <w:rsid w:val="001C7F44"/>
    <w:rsid w:val="001D0649"/>
    <w:rsid w:val="001D0A3C"/>
    <w:rsid w:val="001D0CB3"/>
    <w:rsid w:val="001D1F69"/>
    <w:rsid w:val="001D31E8"/>
    <w:rsid w:val="001D332F"/>
    <w:rsid w:val="001D38DA"/>
    <w:rsid w:val="001D5DCA"/>
    <w:rsid w:val="001D7072"/>
    <w:rsid w:val="001E0434"/>
    <w:rsid w:val="001E1776"/>
    <w:rsid w:val="001E181E"/>
    <w:rsid w:val="001E3700"/>
    <w:rsid w:val="001E37C1"/>
    <w:rsid w:val="001E48A4"/>
    <w:rsid w:val="001E5A4F"/>
    <w:rsid w:val="001E7A85"/>
    <w:rsid w:val="001F0D91"/>
    <w:rsid w:val="001F250A"/>
    <w:rsid w:val="001F4137"/>
    <w:rsid w:val="001F4739"/>
    <w:rsid w:val="001F7AB0"/>
    <w:rsid w:val="00202C4B"/>
    <w:rsid w:val="00202F83"/>
    <w:rsid w:val="00203350"/>
    <w:rsid w:val="00203C44"/>
    <w:rsid w:val="00206A86"/>
    <w:rsid w:val="00210F36"/>
    <w:rsid w:val="00211B4A"/>
    <w:rsid w:val="00212348"/>
    <w:rsid w:val="00212505"/>
    <w:rsid w:val="0021292B"/>
    <w:rsid w:val="00212A7F"/>
    <w:rsid w:val="0021494D"/>
    <w:rsid w:val="002159F2"/>
    <w:rsid w:val="00215CA6"/>
    <w:rsid w:val="00217421"/>
    <w:rsid w:val="00220062"/>
    <w:rsid w:val="00224F12"/>
    <w:rsid w:val="00226574"/>
    <w:rsid w:val="002267BE"/>
    <w:rsid w:val="00226955"/>
    <w:rsid w:val="002272C7"/>
    <w:rsid w:val="0022754B"/>
    <w:rsid w:val="00230926"/>
    <w:rsid w:val="00235055"/>
    <w:rsid w:val="00235311"/>
    <w:rsid w:val="00235AF7"/>
    <w:rsid w:val="00236894"/>
    <w:rsid w:val="00236B4A"/>
    <w:rsid w:val="00240F6E"/>
    <w:rsid w:val="002428D0"/>
    <w:rsid w:val="00245A6C"/>
    <w:rsid w:val="00245DA0"/>
    <w:rsid w:val="00247B67"/>
    <w:rsid w:val="00247CDC"/>
    <w:rsid w:val="0025096C"/>
    <w:rsid w:val="002510FC"/>
    <w:rsid w:val="002541C1"/>
    <w:rsid w:val="002542D2"/>
    <w:rsid w:val="00255992"/>
    <w:rsid w:val="002565C7"/>
    <w:rsid w:val="00260FF5"/>
    <w:rsid w:val="00262662"/>
    <w:rsid w:val="00262D5D"/>
    <w:rsid w:val="002648C7"/>
    <w:rsid w:val="00265652"/>
    <w:rsid w:val="0027039A"/>
    <w:rsid w:val="0027054F"/>
    <w:rsid w:val="0027160E"/>
    <w:rsid w:val="00272E5F"/>
    <w:rsid w:val="00272F63"/>
    <w:rsid w:val="00273217"/>
    <w:rsid w:val="0027342B"/>
    <w:rsid w:val="002738A6"/>
    <w:rsid w:val="00274DDF"/>
    <w:rsid w:val="002753AA"/>
    <w:rsid w:val="002768FC"/>
    <w:rsid w:val="002774E6"/>
    <w:rsid w:val="00277C08"/>
    <w:rsid w:val="002878FD"/>
    <w:rsid w:val="00291DF6"/>
    <w:rsid w:val="002925DF"/>
    <w:rsid w:val="00293DEA"/>
    <w:rsid w:val="0029549F"/>
    <w:rsid w:val="00296ACB"/>
    <w:rsid w:val="002A0163"/>
    <w:rsid w:val="002A05CA"/>
    <w:rsid w:val="002A3C3F"/>
    <w:rsid w:val="002A40F2"/>
    <w:rsid w:val="002A4FEC"/>
    <w:rsid w:val="002A6FA1"/>
    <w:rsid w:val="002A72EE"/>
    <w:rsid w:val="002A7666"/>
    <w:rsid w:val="002A7998"/>
    <w:rsid w:val="002A7A1C"/>
    <w:rsid w:val="002B1023"/>
    <w:rsid w:val="002B1A76"/>
    <w:rsid w:val="002B1C81"/>
    <w:rsid w:val="002B38D6"/>
    <w:rsid w:val="002B47D7"/>
    <w:rsid w:val="002B6950"/>
    <w:rsid w:val="002C0092"/>
    <w:rsid w:val="002C0170"/>
    <w:rsid w:val="002C08E5"/>
    <w:rsid w:val="002C16F7"/>
    <w:rsid w:val="002C19E8"/>
    <w:rsid w:val="002C3640"/>
    <w:rsid w:val="002C3C04"/>
    <w:rsid w:val="002C3F8F"/>
    <w:rsid w:val="002C47A0"/>
    <w:rsid w:val="002C4A16"/>
    <w:rsid w:val="002C4BD3"/>
    <w:rsid w:val="002C4C05"/>
    <w:rsid w:val="002C4F52"/>
    <w:rsid w:val="002C742A"/>
    <w:rsid w:val="002D0536"/>
    <w:rsid w:val="002D1755"/>
    <w:rsid w:val="002D36C0"/>
    <w:rsid w:val="002D3CD1"/>
    <w:rsid w:val="002D5847"/>
    <w:rsid w:val="002D7146"/>
    <w:rsid w:val="002E34CF"/>
    <w:rsid w:val="002E4C31"/>
    <w:rsid w:val="002F1289"/>
    <w:rsid w:val="002F17B1"/>
    <w:rsid w:val="002F2ADF"/>
    <w:rsid w:val="002F2EDD"/>
    <w:rsid w:val="002F3A76"/>
    <w:rsid w:val="002F3DCB"/>
    <w:rsid w:val="002F3FE0"/>
    <w:rsid w:val="002F4B3D"/>
    <w:rsid w:val="002F55C6"/>
    <w:rsid w:val="002F58F2"/>
    <w:rsid w:val="002F5D95"/>
    <w:rsid w:val="002F670A"/>
    <w:rsid w:val="002F7336"/>
    <w:rsid w:val="002F7BE7"/>
    <w:rsid w:val="002F7CFE"/>
    <w:rsid w:val="00300D8B"/>
    <w:rsid w:val="00301340"/>
    <w:rsid w:val="003016DE"/>
    <w:rsid w:val="003052A5"/>
    <w:rsid w:val="003057BA"/>
    <w:rsid w:val="0030606F"/>
    <w:rsid w:val="003060CC"/>
    <w:rsid w:val="003068BD"/>
    <w:rsid w:val="00307715"/>
    <w:rsid w:val="00311292"/>
    <w:rsid w:val="00314ACB"/>
    <w:rsid w:val="00314B6A"/>
    <w:rsid w:val="003158E6"/>
    <w:rsid w:val="00316C36"/>
    <w:rsid w:val="003174D1"/>
    <w:rsid w:val="00317737"/>
    <w:rsid w:val="00317874"/>
    <w:rsid w:val="0032156F"/>
    <w:rsid w:val="00323A5E"/>
    <w:rsid w:val="0032425E"/>
    <w:rsid w:val="003265DA"/>
    <w:rsid w:val="00326DFC"/>
    <w:rsid w:val="00330D91"/>
    <w:rsid w:val="0033287B"/>
    <w:rsid w:val="00332B4D"/>
    <w:rsid w:val="0033326B"/>
    <w:rsid w:val="003338EE"/>
    <w:rsid w:val="003345EB"/>
    <w:rsid w:val="00334B13"/>
    <w:rsid w:val="00335C7F"/>
    <w:rsid w:val="00336BB5"/>
    <w:rsid w:val="00337219"/>
    <w:rsid w:val="00337645"/>
    <w:rsid w:val="003400AF"/>
    <w:rsid w:val="00340AB4"/>
    <w:rsid w:val="00342D34"/>
    <w:rsid w:val="003430AB"/>
    <w:rsid w:val="00345363"/>
    <w:rsid w:val="003456BD"/>
    <w:rsid w:val="00345A34"/>
    <w:rsid w:val="00345E30"/>
    <w:rsid w:val="0035216F"/>
    <w:rsid w:val="003554E1"/>
    <w:rsid w:val="003564E0"/>
    <w:rsid w:val="00357231"/>
    <w:rsid w:val="00360C8D"/>
    <w:rsid w:val="00361555"/>
    <w:rsid w:val="0036226F"/>
    <w:rsid w:val="003632DB"/>
    <w:rsid w:val="003634BF"/>
    <w:rsid w:val="00363F87"/>
    <w:rsid w:val="00364351"/>
    <w:rsid w:val="00364AE6"/>
    <w:rsid w:val="00365A0D"/>
    <w:rsid w:val="00367C9B"/>
    <w:rsid w:val="00370B4A"/>
    <w:rsid w:val="00372E78"/>
    <w:rsid w:val="003736CA"/>
    <w:rsid w:val="003737C4"/>
    <w:rsid w:val="00374179"/>
    <w:rsid w:val="00375A6C"/>
    <w:rsid w:val="003770D4"/>
    <w:rsid w:val="00377DE5"/>
    <w:rsid w:val="00383A46"/>
    <w:rsid w:val="00384982"/>
    <w:rsid w:val="00385231"/>
    <w:rsid w:val="00385B7C"/>
    <w:rsid w:val="00387906"/>
    <w:rsid w:val="00392324"/>
    <w:rsid w:val="00393E78"/>
    <w:rsid w:val="003A1F38"/>
    <w:rsid w:val="003A28DE"/>
    <w:rsid w:val="003A3638"/>
    <w:rsid w:val="003A3FB6"/>
    <w:rsid w:val="003A557A"/>
    <w:rsid w:val="003A60D0"/>
    <w:rsid w:val="003A7B09"/>
    <w:rsid w:val="003B02E0"/>
    <w:rsid w:val="003B0461"/>
    <w:rsid w:val="003B1666"/>
    <w:rsid w:val="003B1979"/>
    <w:rsid w:val="003B1FF9"/>
    <w:rsid w:val="003B323D"/>
    <w:rsid w:val="003B39EF"/>
    <w:rsid w:val="003B7DF2"/>
    <w:rsid w:val="003B7E6B"/>
    <w:rsid w:val="003C0069"/>
    <w:rsid w:val="003C00BE"/>
    <w:rsid w:val="003C227A"/>
    <w:rsid w:val="003C312A"/>
    <w:rsid w:val="003C49E9"/>
    <w:rsid w:val="003C52CA"/>
    <w:rsid w:val="003C6947"/>
    <w:rsid w:val="003C7D09"/>
    <w:rsid w:val="003C7D2C"/>
    <w:rsid w:val="003D29BD"/>
    <w:rsid w:val="003D3FC4"/>
    <w:rsid w:val="003D458D"/>
    <w:rsid w:val="003D4EF5"/>
    <w:rsid w:val="003D7A8F"/>
    <w:rsid w:val="003E056F"/>
    <w:rsid w:val="003E2D9F"/>
    <w:rsid w:val="003E3AE2"/>
    <w:rsid w:val="003E4AB0"/>
    <w:rsid w:val="003E4EF4"/>
    <w:rsid w:val="003E63CB"/>
    <w:rsid w:val="003E69AF"/>
    <w:rsid w:val="003F026A"/>
    <w:rsid w:val="003F18FD"/>
    <w:rsid w:val="003F1B46"/>
    <w:rsid w:val="003F2449"/>
    <w:rsid w:val="003F2A5B"/>
    <w:rsid w:val="003F30C2"/>
    <w:rsid w:val="003F3E28"/>
    <w:rsid w:val="003F489B"/>
    <w:rsid w:val="003F5D6D"/>
    <w:rsid w:val="003F7010"/>
    <w:rsid w:val="003F70F4"/>
    <w:rsid w:val="003F74D7"/>
    <w:rsid w:val="00400404"/>
    <w:rsid w:val="00400EE7"/>
    <w:rsid w:val="00401B9B"/>
    <w:rsid w:val="00401BC9"/>
    <w:rsid w:val="0040213C"/>
    <w:rsid w:val="004026DF"/>
    <w:rsid w:val="00404ADC"/>
    <w:rsid w:val="0040555E"/>
    <w:rsid w:val="00405693"/>
    <w:rsid w:val="00406000"/>
    <w:rsid w:val="00406BC9"/>
    <w:rsid w:val="00406CAB"/>
    <w:rsid w:val="00407C6F"/>
    <w:rsid w:val="004103EB"/>
    <w:rsid w:val="00412D49"/>
    <w:rsid w:val="00414CCF"/>
    <w:rsid w:val="00415B74"/>
    <w:rsid w:val="0041646E"/>
    <w:rsid w:val="00421347"/>
    <w:rsid w:val="00421382"/>
    <w:rsid w:val="00422606"/>
    <w:rsid w:val="00422B85"/>
    <w:rsid w:val="0042369D"/>
    <w:rsid w:val="00423ACD"/>
    <w:rsid w:val="004247BA"/>
    <w:rsid w:val="00424ADD"/>
    <w:rsid w:val="00424B5A"/>
    <w:rsid w:val="00424C6A"/>
    <w:rsid w:val="004251B2"/>
    <w:rsid w:val="0042564F"/>
    <w:rsid w:val="00431C60"/>
    <w:rsid w:val="0043203E"/>
    <w:rsid w:val="004323AC"/>
    <w:rsid w:val="00432519"/>
    <w:rsid w:val="00433204"/>
    <w:rsid w:val="004342BE"/>
    <w:rsid w:val="00436673"/>
    <w:rsid w:val="004401FD"/>
    <w:rsid w:val="004422E5"/>
    <w:rsid w:val="004425BB"/>
    <w:rsid w:val="00444478"/>
    <w:rsid w:val="00444D2D"/>
    <w:rsid w:val="00444E68"/>
    <w:rsid w:val="004453C5"/>
    <w:rsid w:val="00445724"/>
    <w:rsid w:val="00446FE8"/>
    <w:rsid w:val="00451169"/>
    <w:rsid w:val="004533E4"/>
    <w:rsid w:val="00453D3D"/>
    <w:rsid w:val="00454860"/>
    <w:rsid w:val="00455F44"/>
    <w:rsid w:val="00457782"/>
    <w:rsid w:val="0046317A"/>
    <w:rsid w:val="00464D90"/>
    <w:rsid w:val="004668BF"/>
    <w:rsid w:val="00466B73"/>
    <w:rsid w:val="00466FC7"/>
    <w:rsid w:val="004679E4"/>
    <w:rsid w:val="00472938"/>
    <w:rsid w:val="00473318"/>
    <w:rsid w:val="00475905"/>
    <w:rsid w:val="0047762B"/>
    <w:rsid w:val="004778F7"/>
    <w:rsid w:val="00480D57"/>
    <w:rsid w:val="00480E0F"/>
    <w:rsid w:val="00480FBF"/>
    <w:rsid w:val="00481FD1"/>
    <w:rsid w:val="004825B1"/>
    <w:rsid w:val="004826ED"/>
    <w:rsid w:val="00486452"/>
    <w:rsid w:val="00487A69"/>
    <w:rsid w:val="004900B1"/>
    <w:rsid w:val="004908CF"/>
    <w:rsid w:val="00490FC7"/>
    <w:rsid w:val="0049412E"/>
    <w:rsid w:val="004943B1"/>
    <w:rsid w:val="004947C3"/>
    <w:rsid w:val="00497EEA"/>
    <w:rsid w:val="004A242A"/>
    <w:rsid w:val="004A422C"/>
    <w:rsid w:val="004A493B"/>
    <w:rsid w:val="004A7516"/>
    <w:rsid w:val="004B05F7"/>
    <w:rsid w:val="004B070B"/>
    <w:rsid w:val="004B2B7A"/>
    <w:rsid w:val="004B6F0F"/>
    <w:rsid w:val="004B7536"/>
    <w:rsid w:val="004B79DF"/>
    <w:rsid w:val="004C0675"/>
    <w:rsid w:val="004C085F"/>
    <w:rsid w:val="004C08AB"/>
    <w:rsid w:val="004C0D75"/>
    <w:rsid w:val="004C3409"/>
    <w:rsid w:val="004C6CE2"/>
    <w:rsid w:val="004C7357"/>
    <w:rsid w:val="004D20EA"/>
    <w:rsid w:val="004D278A"/>
    <w:rsid w:val="004D2E63"/>
    <w:rsid w:val="004D37F6"/>
    <w:rsid w:val="004D4781"/>
    <w:rsid w:val="004D6B78"/>
    <w:rsid w:val="004D6F68"/>
    <w:rsid w:val="004E3134"/>
    <w:rsid w:val="004E6900"/>
    <w:rsid w:val="004E6F7A"/>
    <w:rsid w:val="004E714B"/>
    <w:rsid w:val="004F23B0"/>
    <w:rsid w:val="004F2E63"/>
    <w:rsid w:val="004F77A4"/>
    <w:rsid w:val="0050029C"/>
    <w:rsid w:val="00502C32"/>
    <w:rsid w:val="00504167"/>
    <w:rsid w:val="00504B6D"/>
    <w:rsid w:val="00504C2D"/>
    <w:rsid w:val="00504E72"/>
    <w:rsid w:val="00506BF5"/>
    <w:rsid w:val="005113AF"/>
    <w:rsid w:val="00513172"/>
    <w:rsid w:val="00513771"/>
    <w:rsid w:val="00513897"/>
    <w:rsid w:val="00513E28"/>
    <w:rsid w:val="00515843"/>
    <w:rsid w:val="00516173"/>
    <w:rsid w:val="00516272"/>
    <w:rsid w:val="00516FFB"/>
    <w:rsid w:val="00517B07"/>
    <w:rsid w:val="00520EE2"/>
    <w:rsid w:val="00521346"/>
    <w:rsid w:val="005216C7"/>
    <w:rsid w:val="00522A17"/>
    <w:rsid w:val="00522BB6"/>
    <w:rsid w:val="00523660"/>
    <w:rsid w:val="00523E92"/>
    <w:rsid w:val="0052453E"/>
    <w:rsid w:val="005253C3"/>
    <w:rsid w:val="00525AB5"/>
    <w:rsid w:val="005266EC"/>
    <w:rsid w:val="00527044"/>
    <w:rsid w:val="00527A8E"/>
    <w:rsid w:val="00527FE9"/>
    <w:rsid w:val="00530BFE"/>
    <w:rsid w:val="00530DE0"/>
    <w:rsid w:val="005320A1"/>
    <w:rsid w:val="00533524"/>
    <w:rsid w:val="0053420A"/>
    <w:rsid w:val="005359E1"/>
    <w:rsid w:val="00535DD1"/>
    <w:rsid w:val="00540224"/>
    <w:rsid w:val="005409E3"/>
    <w:rsid w:val="00541947"/>
    <w:rsid w:val="0054334D"/>
    <w:rsid w:val="00545A29"/>
    <w:rsid w:val="00547162"/>
    <w:rsid w:val="00547316"/>
    <w:rsid w:val="00547F98"/>
    <w:rsid w:val="00550B33"/>
    <w:rsid w:val="00552032"/>
    <w:rsid w:val="00554F17"/>
    <w:rsid w:val="00555136"/>
    <w:rsid w:val="00555BED"/>
    <w:rsid w:val="005567D7"/>
    <w:rsid w:val="00560E42"/>
    <w:rsid w:val="0056145F"/>
    <w:rsid w:val="00561E1C"/>
    <w:rsid w:val="00562521"/>
    <w:rsid w:val="00565D64"/>
    <w:rsid w:val="00567313"/>
    <w:rsid w:val="00567918"/>
    <w:rsid w:val="0057011E"/>
    <w:rsid w:val="005707A5"/>
    <w:rsid w:val="00570DD7"/>
    <w:rsid w:val="00572424"/>
    <w:rsid w:val="00572D9A"/>
    <w:rsid w:val="00572E98"/>
    <w:rsid w:val="00573EB3"/>
    <w:rsid w:val="00575207"/>
    <w:rsid w:val="00575C46"/>
    <w:rsid w:val="0057671A"/>
    <w:rsid w:val="00576CFC"/>
    <w:rsid w:val="00581794"/>
    <w:rsid w:val="00581BD0"/>
    <w:rsid w:val="00584BB1"/>
    <w:rsid w:val="00585383"/>
    <w:rsid w:val="00587F0B"/>
    <w:rsid w:val="005902D6"/>
    <w:rsid w:val="00591257"/>
    <w:rsid w:val="00591824"/>
    <w:rsid w:val="00592E90"/>
    <w:rsid w:val="00592FD7"/>
    <w:rsid w:val="00594278"/>
    <w:rsid w:val="00594A53"/>
    <w:rsid w:val="00595104"/>
    <w:rsid w:val="00595474"/>
    <w:rsid w:val="0059649E"/>
    <w:rsid w:val="00596795"/>
    <w:rsid w:val="005967E5"/>
    <w:rsid w:val="00596D1C"/>
    <w:rsid w:val="00597CBD"/>
    <w:rsid w:val="00597ED6"/>
    <w:rsid w:val="005A143A"/>
    <w:rsid w:val="005A239D"/>
    <w:rsid w:val="005A2E5A"/>
    <w:rsid w:val="005A2F07"/>
    <w:rsid w:val="005A32C4"/>
    <w:rsid w:val="005A354A"/>
    <w:rsid w:val="005A3786"/>
    <w:rsid w:val="005A3B2B"/>
    <w:rsid w:val="005A7B9F"/>
    <w:rsid w:val="005B11B2"/>
    <w:rsid w:val="005B1CF2"/>
    <w:rsid w:val="005B7B24"/>
    <w:rsid w:val="005B7D98"/>
    <w:rsid w:val="005C05C2"/>
    <w:rsid w:val="005C0777"/>
    <w:rsid w:val="005C099F"/>
    <w:rsid w:val="005C0E58"/>
    <w:rsid w:val="005C1B0E"/>
    <w:rsid w:val="005C4600"/>
    <w:rsid w:val="005C514D"/>
    <w:rsid w:val="005C69E5"/>
    <w:rsid w:val="005C7007"/>
    <w:rsid w:val="005C781F"/>
    <w:rsid w:val="005D343B"/>
    <w:rsid w:val="005D3E6C"/>
    <w:rsid w:val="005D42C2"/>
    <w:rsid w:val="005D6A39"/>
    <w:rsid w:val="005E147F"/>
    <w:rsid w:val="005E25AD"/>
    <w:rsid w:val="005E29F5"/>
    <w:rsid w:val="005E3B94"/>
    <w:rsid w:val="005E6A2C"/>
    <w:rsid w:val="005E6F8C"/>
    <w:rsid w:val="005F0B3A"/>
    <w:rsid w:val="005F10A5"/>
    <w:rsid w:val="005F127E"/>
    <w:rsid w:val="005F1A8E"/>
    <w:rsid w:val="005F1AB1"/>
    <w:rsid w:val="005F25DC"/>
    <w:rsid w:val="005F3686"/>
    <w:rsid w:val="005F3B4F"/>
    <w:rsid w:val="005F486D"/>
    <w:rsid w:val="0060019D"/>
    <w:rsid w:val="00600602"/>
    <w:rsid w:val="00600E9E"/>
    <w:rsid w:val="00605B9F"/>
    <w:rsid w:val="00605EAB"/>
    <w:rsid w:val="0060743B"/>
    <w:rsid w:val="00607A59"/>
    <w:rsid w:val="006100EB"/>
    <w:rsid w:val="00610502"/>
    <w:rsid w:val="0061677D"/>
    <w:rsid w:val="00616F29"/>
    <w:rsid w:val="00620E1E"/>
    <w:rsid w:val="00625B61"/>
    <w:rsid w:val="0062660E"/>
    <w:rsid w:val="00627C90"/>
    <w:rsid w:val="00630B7C"/>
    <w:rsid w:val="00632D0D"/>
    <w:rsid w:val="00633154"/>
    <w:rsid w:val="00633F13"/>
    <w:rsid w:val="00633F88"/>
    <w:rsid w:val="00634005"/>
    <w:rsid w:val="00634247"/>
    <w:rsid w:val="00635BE7"/>
    <w:rsid w:val="0063709D"/>
    <w:rsid w:val="00637371"/>
    <w:rsid w:val="00641F12"/>
    <w:rsid w:val="00642E72"/>
    <w:rsid w:val="0064348D"/>
    <w:rsid w:val="00646BE8"/>
    <w:rsid w:val="006476F1"/>
    <w:rsid w:val="006514F4"/>
    <w:rsid w:val="00651817"/>
    <w:rsid w:val="00651FC5"/>
    <w:rsid w:val="006527E5"/>
    <w:rsid w:val="00652B63"/>
    <w:rsid w:val="00653755"/>
    <w:rsid w:val="00654B51"/>
    <w:rsid w:val="006558ED"/>
    <w:rsid w:val="00655E32"/>
    <w:rsid w:val="00656857"/>
    <w:rsid w:val="00657A40"/>
    <w:rsid w:val="00663A23"/>
    <w:rsid w:val="0066434E"/>
    <w:rsid w:val="00665AB5"/>
    <w:rsid w:val="00666132"/>
    <w:rsid w:val="00666B9B"/>
    <w:rsid w:val="0066793E"/>
    <w:rsid w:val="00670267"/>
    <w:rsid w:val="00671D3B"/>
    <w:rsid w:val="00673948"/>
    <w:rsid w:val="0067416F"/>
    <w:rsid w:val="00676F83"/>
    <w:rsid w:val="006779B8"/>
    <w:rsid w:val="00680BC8"/>
    <w:rsid w:val="00680C8C"/>
    <w:rsid w:val="00685161"/>
    <w:rsid w:val="00686BFF"/>
    <w:rsid w:val="00687DAA"/>
    <w:rsid w:val="0069059E"/>
    <w:rsid w:val="00693FDD"/>
    <w:rsid w:val="00694074"/>
    <w:rsid w:val="006948EC"/>
    <w:rsid w:val="00695D16"/>
    <w:rsid w:val="006A06A3"/>
    <w:rsid w:val="006A38A7"/>
    <w:rsid w:val="006A4E65"/>
    <w:rsid w:val="006A55DC"/>
    <w:rsid w:val="006A622A"/>
    <w:rsid w:val="006B03C6"/>
    <w:rsid w:val="006B19E3"/>
    <w:rsid w:val="006B21F7"/>
    <w:rsid w:val="006B2D21"/>
    <w:rsid w:val="006C0865"/>
    <w:rsid w:val="006C1CC2"/>
    <w:rsid w:val="006C1D29"/>
    <w:rsid w:val="006C2DD5"/>
    <w:rsid w:val="006C3602"/>
    <w:rsid w:val="006C7F8D"/>
    <w:rsid w:val="006D08F5"/>
    <w:rsid w:val="006D1910"/>
    <w:rsid w:val="006D4399"/>
    <w:rsid w:val="006D4B4A"/>
    <w:rsid w:val="006D5CEE"/>
    <w:rsid w:val="006D730A"/>
    <w:rsid w:val="006D771B"/>
    <w:rsid w:val="006E06E7"/>
    <w:rsid w:val="006E13D6"/>
    <w:rsid w:val="006E1AB7"/>
    <w:rsid w:val="006E2301"/>
    <w:rsid w:val="006E2486"/>
    <w:rsid w:val="006E35AD"/>
    <w:rsid w:val="006E498E"/>
    <w:rsid w:val="006E52E4"/>
    <w:rsid w:val="006E5AEB"/>
    <w:rsid w:val="006E6F04"/>
    <w:rsid w:val="006E7B39"/>
    <w:rsid w:val="006F0B71"/>
    <w:rsid w:val="006F31DF"/>
    <w:rsid w:val="006F58FE"/>
    <w:rsid w:val="006F6840"/>
    <w:rsid w:val="006F7AD6"/>
    <w:rsid w:val="0070031B"/>
    <w:rsid w:val="00701E9C"/>
    <w:rsid w:val="00701F25"/>
    <w:rsid w:val="0070290C"/>
    <w:rsid w:val="007050C8"/>
    <w:rsid w:val="00707162"/>
    <w:rsid w:val="00707C0F"/>
    <w:rsid w:val="00707DA8"/>
    <w:rsid w:val="007100FC"/>
    <w:rsid w:val="00711F05"/>
    <w:rsid w:val="0071275C"/>
    <w:rsid w:val="00713C18"/>
    <w:rsid w:val="00716FB8"/>
    <w:rsid w:val="00721ECE"/>
    <w:rsid w:val="007223F8"/>
    <w:rsid w:val="00722619"/>
    <w:rsid w:val="0072356F"/>
    <w:rsid w:val="00723958"/>
    <w:rsid w:val="00724834"/>
    <w:rsid w:val="00725DAF"/>
    <w:rsid w:val="00725F58"/>
    <w:rsid w:val="007265B5"/>
    <w:rsid w:val="0073076F"/>
    <w:rsid w:val="00730834"/>
    <w:rsid w:val="007313A8"/>
    <w:rsid w:val="00732DDD"/>
    <w:rsid w:val="007335E6"/>
    <w:rsid w:val="00734B4F"/>
    <w:rsid w:val="0073705B"/>
    <w:rsid w:val="007405AD"/>
    <w:rsid w:val="00741202"/>
    <w:rsid w:val="00742E43"/>
    <w:rsid w:val="007431D6"/>
    <w:rsid w:val="00743797"/>
    <w:rsid w:val="00743A0A"/>
    <w:rsid w:val="00743A54"/>
    <w:rsid w:val="0074415F"/>
    <w:rsid w:val="00747F5E"/>
    <w:rsid w:val="0075004B"/>
    <w:rsid w:val="00751101"/>
    <w:rsid w:val="007518A4"/>
    <w:rsid w:val="007523C1"/>
    <w:rsid w:val="00757836"/>
    <w:rsid w:val="00760D59"/>
    <w:rsid w:val="00761A82"/>
    <w:rsid w:val="00765EBA"/>
    <w:rsid w:val="007668DD"/>
    <w:rsid w:val="00766B4C"/>
    <w:rsid w:val="007709B5"/>
    <w:rsid w:val="00770CC5"/>
    <w:rsid w:val="00771401"/>
    <w:rsid w:val="00771C85"/>
    <w:rsid w:val="007737C4"/>
    <w:rsid w:val="00776B18"/>
    <w:rsid w:val="00777011"/>
    <w:rsid w:val="00777766"/>
    <w:rsid w:val="00777F9C"/>
    <w:rsid w:val="00780E83"/>
    <w:rsid w:val="00781BE8"/>
    <w:rsid w:val="00781D9B"/>
    <w:rsid w:val="007827DD"/>
    <w:rsid w:val="00783198"/>
    <w:rsid w:val="00783365"/>
    <w:rsid w:val="00783F97"/>
    <w:rsid w:val="00784F3F"/>
    <w:rsid w:val="007851AD"/>
    <w:rsid w:val="00785473"/>
    <w:rsid w:val="00785670"/>
    <w:rsid w:val="007906AD"/>
    <w:rsid w:val="00791248"/>
    <w:rsid w:val="00791D94"/>
    <w:rsid w:val="0079498A"/>
    <w:rsid w:val="007A1AEF"/>
    <w:rsid w:val="007A1BC9"/>
    <w:rsid w:val="007A2873"/>
    <w:rsid w:val="007A3BA8"/>
    <w:rsid w:val="007A4956"/>
    <w:rsid w:val="007A55F7"/>
    <w:rsid w:val="007A577D"/>
    <w:rsid w:val="007A5F6A"/>
    <w:rsid w:val="007A5FB4"/>
    <w:rsid w:val="007A6C2B"/>
    <w:rsid w:val="007A79E3"/>
    <w:rsid w:val="007B4D26"/>
    <w:rsid w:val="007B5FB0"/>
    <w:rsid w:val="007B6F53"/>
    <w:rsid w:val="007B7511"/>
    <w:rsid w:val="007C2CE5"/>
    <w:rsid w:val="007C3F25"/>
    <w:rsid w:val="007C428E"/>
    <w:rsid w:val="007C4A41"/>
    <w:rsid w:val="007C5865"/>
    <w:rsid w:val="007C7096"/>
    <w:rsid w:val="007D01D0"/>
    <w:rsid w:val="007D1FFA"/>
    <w:rsid w:val="007D2DEA"/>
    <w:rsid w:val="007D5912"/>
    <w:rsid w:val="007D5D0D"/>
    <w:rsid w:val="007D7581"/>
    <w:rsid w:val="007D790A"/>
    <w:rsid w:val="007E1589"/>
    <w:rsid w:val="007E1F77"/>
    <w:rsid w:val="007E2440"/>
    <w:rsid w:val="007E3E0D"/>
    <w:rsid w:val="007E4AA7"/>
    <w:rsid w:val="007E5140"/>
    <w:rsid w:val="007E62A1"/>
    <w:rsid w:val="007F0014"/>
    <w:rsid w:val="007F0D80"/>
    <w:rsid w:val="007F12F4"/>
    <w:rsid w:val="007F2811"/>
    <w:rsid w:val="007F2DCC"/>
    <w:rsid w:val="007F4287"/>
    <w:rsid w:val="007F532B"/>
    <w:rsid w:val="007F6C07"/>
    <w:rsid w:val="007F6EB4"/>
    <w:rsid w:val="007F7A75"/>
    <w:rsid w:val="008013EF"/>
    <w:rsid w:val="00804524"/>
    <w:rsid w:val="00804FCD"/>
    <w:rsid w:val="00806272"/>
    <w:rsid w:val="008071D6"/>
    <w:rsid w:val="0080737B"/>
    <w:rsid w:val="00811A5B"/>
    <w:rsid w:val="00811FC8"/>
    <w:rsid w:val="008138F6"/>
    <w:rsid w:val="00813FD8"/>
    <w:rsid w:val="008140AF"/>
    <w:rsid w:val="008141E4"/>
    <w:rsid w:val="00815850"/>
    <w:rsid w:val="0081585C"/>
    <w:rsid w:val="00816A3C"/>
    <w:rsid w:val="00822524"/>
    <w:rsid w:val="0082414A"/>
    <w:rsid w:val="0082457F"/>
    <w:rsid w:val="0082610A"/>
    <w:rsid w:val="0082635A"/>
    <w:rsid w:val="0082780D"/>
    <w:rsid w:val="00827EB5"/>
    <w:rsid w:val="00830436"/>
    <w:rsid w:val="0083297F"/>
    <w:rsid w:val="00833C88"/>
    <w:rsid w:val="008348E4"/>
    <w:rsid w:val="00836062"/>
    <w:rsid w:val="00837D9E"/>
    <w:rsid w:val="00837F51"/>
    <w:rsid w:val="0084349B"/>
    <w:rsid w:val="0084435B"/>
    <w:rsid w:val="00844774"/>
    <w:rsid w:val="008453A5"/>
    <w:rsid w:val="008461C2"/>
    <w:rsid w:val="00846680"/>
    <w:rsid w:val="0084696C"/>
    <w:rsid w:val="0085071A"/>
    <w:rsid w:val="00851D76"/>
    <w:rsid w:val="00852CA5"/>
    <w:rsid w:val="00854A7F"/>
    <w:rsid w:val="00855870"/>
    <w:rsid w:val="00855C40"/>
    <w:rsid w:val="008561DB"/>
    <w:rsid w:val="00860EDA"/>
    <w:rsid w:val="00861E7F"/>
    <w:rsid w:val="00863D31"/>
    <w:rsid w:val="00865B06"/>
    <w:rsid w:val="0086662B"/>
    <w:rsid w:val="00867E67"/>
    <w:rsid w:val="00870E9C"/>
    <w:rsid w:val="00870EBD"/>
    <w:rsid w:val="0087223D"/>
    <w:rsid w:val="00873BEE"/>
    <w:rsid w:val="00874D82"/>
    <w:rsid w:val="00875760"/>
    <w:rsid w:val="008758CB"/>
    <w:rsid w:val="008767E3"/>
    <w:rsid w:val="00876D81"/>
    <w:rsid w:val="00880721"/>
    <w:rsid w:val="00880DA1"/>
    <w:rsid w:val="00882295"/>
    <w:rsid w:val="00884216"/>
    <w:rsid w:val="00884472"/>
    <w:rsid w:val="008851E2"/>
    <w:rsid w:val="008867FA"/>
    <w:rsid w:val="00886E0C"/>
    <w:rsid w:val="008876A5"/>
    <w:rsid w:val="00887730"/>
    <w:rsid w:val="00890020"/>
    <w:rsid w:val="00891197"/>
    <w:rsid w:val="008915D6"/>
    <w:rsid w:val="00892FCD"/>
    <w:rsid w:val="00893C71"/>
    <w:rsid w:val="00894314"/>
    <w:rsid w:val="00895401"/>
    <w:rsid w:val="0089599B"/>
    <w:rsid w:val="008973D2"/>
    <w:rsid w:val="008A068A"/>
    <w:rsid w:val="008A0F38"/>
    <w:rsid w:val="008A138E"/>
    <w:rsid w:val="008A1922"/>
    <w:rsid w:val="008A3C87"/>
    <w:rsid w:val="008A4942"/>
    <w:rsid w:val="008B01B7"/>
    <w:rsid w:val="008B01F9"/>
    <w:rsid w:val="008B18F3"/>
    <w:rsid w:val="008B1C7C"/>
    <w:rsid w:val="008B3144"/>
    <w:rsid w:val="008B4C1B"/>
    <w:rsid w:val="008B4C64"/>
    <w:rsid w:val="008B53BF"/>
    <w:rsid w:val="008B5A03"/>
    <w:rsid w:val="008B5F6A"/>
    <w:rsid w:val="008B6D23"/>
    <w:rsid w:val="008C0485"/>
    <w:rsid w:val="008C072D"/>
    <w:rsid w:val="008C1254"/>
    <w:rsid w:val="008C13A2"/>
    <w:rsid w:val="008C2829"/>
    <w:rsid w:val="008C4CAF"/>
    <w:rsid w:val="008C56A8"/>
    <w:rsid w:val="008C7CB4"/>
    <w:rsid w:val="008C7F8F"/>
    <w:rsid w:val="008D040B"/>
    <w:rsid w:val="008D408D"/>
    <w:rsid w:val="008D4A0C"/>
    <w:rsid w:val="008D4E14"/>
    <w:rsid w:val="008D6442"/>
    <w:rsid w:val="008D6B32"/>
    <w:rsid w:val="008D6C59"/>
    <w:rsid w:val="008D7F58"/>
    <w:rsid w:val="008E17A9"/>
    <w:rsid w:val="008E1932"/>
    <w:rsid w:val="008E411A"/>
    <w:rsid w:val="008E47EB"/>
    <w:rsid w:val="008E4BA8"/>
    <w:rsid w:val="008E7DBD"/>
    <w:rsid w:val="008F1785"/>
    <w:rsid w:val="008F1F2A"/>
    <w:rsid w:val="008F6959"/>
    <w:rsid w:val="009002ED"/>
    <w:rsid w:val="00901B9B"/>
    <w:rsid w:val="0090227C"/>
    <w:rsid w:val="00902727"/>
    <w:rsid w:val="00903660"/>
    <w:rsid w:val="00903B02"/>
    <w:rsid w:val="00905252"/>
    <w:rsid w:val="0091073B"/>
    <w:rsid w:val="00911299"/>
    <w:rsid w:val="00915DFE"/>
    <w:rsid w:val="0091613F"/>
    <w:rsid w:val="00916750"/>
    <w:rsid w:val="00921393"/>
    <w:rsid w:val="0092305C"/>
    <w:rsid w:val="009264A7"/>
    <w:rsid w:val="009302BE"/>
    <w:rsid w:val="00930483"/>
    <w:rsid w:val="0093264D"/>
    <w:rsid w:val="00934702"/>
    <w:rsid w:val="00935107"/>
    <w:rsid w:val="009371F3"/>
    <w:rsid w:val="00937381"/>
    <w:rsid w:val="0094043C"/>
    <w:rsid w:val="009440C7"/>
    <w:rsid w:val="0094712E"/>
    <w:rsid w:val="00947308"/>
    <w:rsid w:val="00947F9F"/>
    <w:rsid w:val="009513C8"/>
    <w:rsid w:val="00951734"/>
    <w:rsid w:val="00951BB5"/>
    <w:rsid w:val="00951F8E"/>
    <w:rsid w:val="009536E0"/>
    <w:rsid w:val="00954A32"/>
    <w:rsid w:val="00954F7E"/>
    <w:rsid w:val="009551E2"/>
    <w:rsid w:val="009553D6"/>
    <w:rsid w:val="009568F9"/>
    <w:rsid w:val="009607B0"/>
    <w:rsid w:val="009632C7"/>
    <w:rsid w:val="00963C71"/>
    <w:rsid w:val="009641BE"/>
    <w:rsid w:val="00964E66"/>
    <w:rsid w:val="00965AB5"/>
    <w:rsid w:val="009665CE"/>
    <w:rsid w:val="00966F75"/>
    <w:rsid w:val="009718D9"/>
    <w:rsid w:val="00972105"/>
    <w:rsid w:val="0097467E"/>
    <w:rsid w:val="00974756"/>
    <w:rsid w:val="009747E3"/>
    <w:rsid w:val="00974AEE"/>
    <w:rsid w:val="00980453"/>
    <w:rsid w:val="00983A7F"/>
    <w:rsid w:val="00983AE3"/>
    <w:rsid w:val="00983B7E"/>
    <w:rsid w:val="00983D56"/>
    <w:rsid w:val="00984BB0"/>
    <w:rsid w:val="00985879"/>
    <w:rsid w:val="00985905"/>
    <w:rsid w:val="00986173"/>
    <w:rsid w:val="009925CC"/>
    <w:rsid w:val="0099275C"/>
    <w:rsid w:val="009960D1"/>
    <w:rsid w:val="00996548"/>
    <w:rsid w:val="0099752E"/>
    <w:rsid w:val="009978B6"/>
    <w:rsid w:val="009A04C2"/>
    <w:rsid w:val="009A0575"/>
    <w:rsid w:val="009A1041"/>
    <w:rsid w:val="009A2A60"/>
    <w:rsid w:val="009A33A9"/>
    <w:rsid w:val="009A3AFE"/>
    <w:rsid w:val="009A5A90"/>
    <w:rsid w:val="009A5D78"/>
    <w:rsid w:val="009B1005"/>
    <w:rsid w:val="009B1B75"/>
    <w:rsid w:val="009B3249"/>
    <w:rsid w:val="009B4203"/>
    <w:rsid w:val="009B5C0D"/>
    <w:rsid w:val="009B5D56"/>
    <w:rsid w:val="009B6315"/>
    <w:rsid w:val="009C0414"/>
    <w:rsid w:val="009C192A"/>
    <w:rsid w:val="009C3A3A"/>
    <w:rsid w:val="009C3E14"/>
    <w:rsid w:val="009C45CF"/>
    <w:rsid w:val="009C4F16"/>
    <w:rsid w:val="009C509C"/>
    <w:rsid w:val="009C5493"/>
    <w:rsid w:val="009C585D"/>
    <w:rsid w:val="009C70D6"/>
    <w:rsid w:val="009D0245"/>
    <w:rsid w:val="009D0D28"/>
    <w:rsid w:val="009D190C"/>
    <w:rsid w:val="009D1E3A"/>
    <w:rsid w:val="009D6B72"/>
    <w:rsid w:val="009D7DBA"/>
    <w:rsid w:val="009E0357"/>
    <w:rsid w:val="009E3818"/>
    <w:rsid w:val="009E3948"/>
    <w:rsid w:val="009E4A98"/>
    <w:rsid w:val="009E6FEA"/>
    <w:rsid w:val="009F036C"/>
    <w:rsid w:val="009F0FD8"/>
    <w:rsid w:val="009F36FE"/>
    <w:rsid w:val="009F4CF6"/>
    <w:rsid w:val="009F4E26"/>
    <w:rsid w:val="009F57E2"/>
    <w:rsid w:val="009F58C0"/>
    <w:rsid w:val="009F7B78"/>
    <w:rsid w:val="00A0018D"/>
    <w:rsid w:val="00A025A1"/>
    <w:rsid w:val="00A02707"/>
    <w:rsid w:val="00A0314F"/>
    <w:rsid w:val="00A03477"/>
    <w:rsid w:val="00A03574"/>
    <w:rsid w:val="00A06C4D"/>
    <w:rsid w:val="00A07051"/>
    <w:rsid w:val="00A102B1"/>
    <w:rsid w:val="00A10A4F"/>
    <w:rsid w:val="00A114F7"/>
    <w:rsid w:val="00A1333B"/>
    <w:rsid w:val="00A1351B"/>
    <w:rsid w:val="00A13971"/>
    <w:rsid w:val="00A13ED0"/>
    <w:rsid w:val="00A14E67"/>
    <w:rsid w:val="00A156AA"/>
    <w:rsid w:val="00A1595A"/>
    <w:rsid w:val="00A177FF"/>
    <w:rsid w:val="00A17887"/>
    <w:rsid w:val="00A17B7F"/>
    <w:rsid w:val="00A217FA"/>
    <w:rsid w:val="00A22F3E"/>
    <w:rsid w:val="00A259A8"/>
    <w:rsid w:val="00A26F35"/>
    <w:rsid w:val="00A26F56"/>
    <w:rsid w:val="00A31170"/>
    <w:rsid w:val="00A31875"/>
    <w:rsid w:val="00A31BFD"/>
    <w:rsid w:val="00A32BE2"/>
    <w:rsid w:val="00A36123"/>
    <w:rsid w:val="00A36DC2"/>
    <w:rsid w:val="00A37A59"/>
    <w:rsid w:val="00A41BA8"/>
    <w:rsid w:val="00A4311B"/>
    <w:rsid w:val="00A4336D"/>
    <w:rsid w:val="00A43733"/>
    <w:rsid w:val="00A45407"/>
    <w:rsid w:val="00A4563C"/>
    <w:rsid w:val="00A5269B"/>
    <w:rsid w:val="00A55BC4"/>
    <w:rsid w:val="00A56AE3"/>
    <w:rsid w:val="00A56BBA"/>
    <w:rsid w:val="00A572E3"/>
    <w:rsid w:val="00A6011D"/>
    <w:rsid w:val="00A60A9C"/>
    <w:rsid w:val="00A61C13"/>
    <w:rsid w:val="00A6626E"/>
    <w:rsid w:val="00A66600"/>
    <w:rsid w:val="00A71AB1"/>
    <w:rsid w:val="00A72EFE"/>
    <w:rsid w:val="00A735A2"/>
    <w:rsid w:val="00A74481"/>
    <w:rsid w:val="00A77C72"/>
    <w:rsid w:val="00A80E7C"/>
    <w:rsid w:val="00A80EE9"/>
    <w:rsid w:val="00A812C0"/>
    <w:rsid w:val="00A820A2"/>
    <w:rsid w:val="00A82B7B"/>
    <w:rsid w:val="00A83180"/>
    <w:rsid w:val="00A84478"/>
    <w:rsid w:val="00A84A21"/>
    <w:rsid w:val="00A84F3A"/>
    <w:rsid w:val="00A86EC8"/>
    <w:rsid w:val="00A90047"/>
    <w:rsid w:val="00A91C2A"/>
    <w:rsid w:val="00A93F65"/>
    <w:rsid w:val="00A967FD"/>
    <w:rsid w:val="00A97A49"/>
    <w:rsid w:val="00AA15E6"/>
    <w:rsid w:val="00AA3880"/>
    <w:rsid w:val="00AA4147"/>
    <w:rsid w:val="00AA4211"/>
    <w:rsid w:val="00AA45FA"/>
    <w:rsid w:val="00AA4B75"/>
    <w:rsid w:val="00AA4DE6"/>
    <w:rsid w:val="00AA5F92"/>
    <w:rsid w:val="00AA7517"/>
    <w:rsid w:val="00AA759F"/>
    <w:rsid w:val="00AB0FCA"/>
    <w:rsid w:val="00AB2641"/>
    <w:rsid w:val="00AB2ECF"/>
    <w:rsid w:val="00AB7F02"/>
    <w:rsid w:val="00AC13CF"/>
    <w:rsid w:val="00AC1EDD"/>
    <w:rsid w:val="00AC2A7F"/>
    <w:rsid w:val="00AC43BE"/>
    <w:rsid w:val="00AD1498"/>
    <w:rsid w:val="00AD2146"/>
    <w:rsid w:val="00AD280E"/>
    <w:rsid w:val="00AD4C63"/>
    <w:rsid w:val="00AD4E23"/>
    <w:rsid w:val="00AD6F79"/>
    <w:rsid w:val="00AD760F"/>
    <w:rsid w:val="00AE0A5D"/>
    <w:rsid w:val="00AE1449"/>
    <w:rsid w:val="00AE3849"/>
    <w:rsid w:val="00AE4C46"/>
    <w:rsid w:val="00AE5EC6"/>
    <w:rsid w:val="00AE661F"/>
    <w:rsid w:val="00AF0A82"/>
    <w:rsid w:val="00AF1EEB"/>
    <w:rsid w:val="00AF392C"/>
    <w:rsid w:val="00AF3F22"/>
    <w:rsid w:val="00AF60B9"/>
    <w:rsid w:val="00AF63E6"/>
    <w:rsid w:val="00AF7CAF"/>
    <w:rsid w:val="00B005E6"/>
    <w:rsid w:val="00B02751"/>
    <w:rsid w:val="00B0276D"/>
    <w:rsid w:val="00B0462A"/>
    <w:rsid w:val="00B106B7"/>
    <w:rsid w:val="00B1333F"/>
    <w:rsid w:val="00B13842"/>
    <w:rsid w:val="00B13E09"/>
    <w:rsid w:val="00B141E0"/>
    <w:rsid w:val="00B1481B"/>
    <w:rsid w:val="00B150B8"/>
    <w:rsid w:val="00B1629B"/>
    <w:rsid w:val="00B17140"/>
    <w:rsid w:val="00B17C3E"/>
    <w:rsid w:val="00B20CD7"/>
    <w:rsid w:val="00B212D2"/>
    <w:rsid w:val="00B21576"/>
    <w:rsid w:val="00B22DEB"/>
    <w:rsid w:val="00B23B3E"/>
    <w:rsid w:val="00B2422B"/>
    <w:rsid w:val="00B24330"/>
    <w:rsid w:val="00B24ACF"/>
    <w:rsid w:val="00B278EA"/>
    <w:rsid w:val="00B327E4"/>
    <w:rsid w:val="00B35140"/>
    <w:rsid w:val="00B356C9"/>
    <w:rsid w:val="00B358C2"/>
    <w:rsid w:val="00B372BC"/>
    <w:rsid w:val="00B4075F"/>
    <w:rsid w:val="00B42C3A"/>
    <w:rsid w:val="00B43882"/>
    <w:rsid w:val="00B43CA0"/>
    <w:rsid w:val="00B43FEF"/>
    <w:rsid w:val="00B445E7"/>
    <w:rsid w:val="00B454D1"/>
    <w:rsid w:val="00B457E9"/>
    <w:rsid w:val="00B45CD4"/>
    <w:rsid w:val="00B4689B"/>
    <w:rsid w:val="00B50475"/>
    <w:rsid w:val="00B510B8"/>
    <w:rsid w:val="00B53360"/>
    <w:rsid w:val="00B550EB"/>
    <w:rsid w:val="00B55D01"/>
    <w:rsid w:val="00B57F46"/>
    <w:rsid w:val="00B60C3E"/>
    <w:rsid w:val="00B62288"/>
    <w:rsid w:val="00B63530"/>
    <w:rsid w:val="00B64271"/>
    <w:rsid w:val="00B64410"/>
    <w:rsid w:val="00B646F1"/>
    <w:rsid w:val="00B64879"/>
    <w:rsid w:val="00B656D2"/>
    <w:rsid w:val="00B6591D"/>
    <w:rsid w:val="00B666DE"/>
    <w:rsid w:val="00B6793F"/>
    <w:rsid w:val="00B73A27"/>
    <w:rsid w:val="00B7573D"/>
    <w:rsid w:val="00B7749F"/>
    <w:rsid w:val="00B801C3"/>
    <w:rsid w:val="00B822A9"/>
    <w:rsid w:val="00B822F0"/>
    <w:rsid w:val="00B82A03"/>
    <w:rsid w:val="00B82AF7"/>
    <w:rsid w:val="00B851B8"/>
    <w:rsid w:val="00B923C5"/>
    <w:rsid w:val="00B951F6"/>
    <w:rsid w:val="00B97219"/>
    <w:rsid w:val="00B97578"/>
    <w:rsid w:val="00BA10A1"/>
    <w:rsid w:val="00BA2706"/>
    <w:rsid w:val="00BA2D79"/>
    <w:rsid w:val="00BA2E1D"/>
    <w:rsid w:val="00BA3924"/>
    <w:rsid w:val="00BA3963"/>
    <w:rsid w:val="00BA45B7"/>
    <w:rsid w:val="00BA4F5E"/>
    <w:rsid w:val="00BA555C"/>
    <w:rsid w:val="00BA5DEB"/>
    <w:rsid w:val="00BA6C9C"/>
    <w:rsid w:val="00BA6D77"/>
    <w:rsid w:val="00BB0D70"/>
    <w:rsid w:val="00BB18B7"/>
    <w:rsid w:val="00BB2752"/>
    <w:rsid w:val="00BB2E12"/>
    <w:rsid w:val="00BB34AD"/>
    <w:rsid w:val="00BB4695"/>
    <w:rsid w:val="00BB49A9"/>
    <w:rsid w:val="00BB5D4D"/>
    <w:rsid w:val="00BB6F4E"/>
    <w:rsid w:val="00BB7546"/>
    <w:rsid w:val="00BC0FD4"/>
    <w:rsid w:val="00BC1919"/>
    <w:rsid w:val="00BC25E2"/>
    <w:rsid w:val="00BC282C"/>
    <w:rsid w:val="00BC4E1D"/>
    <w:rsid w:val="00BC5613"/>
    <w:rsid w:val="00BC59D2"/>
    <w:rsid w:val="00BC729D"/>
    <w:rsid w:val="00BC751C"/>
    <w:rsid w:val="00BC75D2"/>
    <w:rsid w:val="00BD0657"/>
    <w:rsid w:val="00BD17B9"/>
    <w:rsid w:val="00BD1A00"/>
    <w:rsid w:val="00BD4A07"/>
    <w:rsid w:val="00BD5BE8"/>
    <w:rsid w:val="00BD64F1"/>
    <w:rsid w:val="00BD7FE1"/>
    <w:rsid w:val="00BE0E2E"/>
    <w:rsid w:val="00BE1AA8"/>
    <w:rsid w:val="00BE1F4A"/>
    <w:rsid w:val="00BE6189"/>
    <w:rsid w:val="00BE6DE1"/>
    <w:rsid w:val="00BE6EEC"/>
    <w:rsid w:val="00BE7C05"/>
    <w:rsid w:val="00BF15D1"/>
    <w:rsid w:val="00BF29B1"/>
    <w:rsid w:val="00BF3317"/>
    <w:rsid w:val="00BF4783"/>
    <w:rsid w:val="00BF4D55"/>
    <w:rsid w:val="00BF591F"/>
    <w:rsid w:val="00BF7A9E"/>
    <w:rsid w:val="00C00BFD"/>
    <w:rsid w:val="00C019D7"/>
    <w:rsid w:val="00C02F48"/>
    <w:rsid w:val="00C0346B"/>
    <w:rsid w:val="00C03C21"/>
    <w:rsid w:val="00C04D0A"/>
    <w:rsid w:val="00C05557"/>
    <w:rsid w:val="00C06C01"/>
    <w:rsid w:val="00C1069E"/>
    <w:rsid w:val="00C10D85"/>
    <w:rsid w:val="00C1224B"/>
    <w:rsid w:val="00C12DA8"/>
    <w:rsid w:val="00C1348A"/>
    <w:rsid w:val="00C13775"/>
    <w:rsid w:val="00C1590C"/>
    <w:rsid w:val="00C15E4E"/>
    <w:rsid w:val="00C176C5"/>
    <w:rsid w:val="00C17A85"/>
    <w:rsid w:val="00C2048F"/>
    <w:rsid w:val="00C21F70"/>
    <w:rsid w:val="00C23CDE"/>
    <w:rsid w:val="00C2515E"/>
    <w:rsid w:val="00C2530F"/>
    <w:rsid w:val="00C26ED0"/>
    <w:rsid w:val="00C27831"/>
    <w:rsid w:val="00C3166E"/>
    <w:rsid w:val="00C3339B"/>
    <w:rsid w:val="00C360B6"/>
    <w:rsid w:val="00C406EE"/>
    <w:rsid w:val="00C407B7"/>
    <w:rsid w:val="00C40A55"/>
    <w:rsid w:val="00C418A6"/>
    <w:rsid w:val="00C41ACC"/>
    <w:rsid w:val="00C4276C"/>
    <w:rsid w:val="00C436E9"/>
    <w:rsid w:val="00C43894"/>
    <w:rsid w:val="00C44A68"/>
    <w:rsid w:val="00C45959"/>
    <w:rsid w:val="00C464D1"/>
    <w:rsid w:val="00C46DF4"/>
    <w:rsid w:val="00C46F08"/>
    <w:rsid w:val="00C47C22"/>
    <w:rsid w:val="00C505D4"/>
    <w:rsid w:val="00C52C7E"/>
    <w:rsid w:val="00C53525"/>
    <w:rsid w:val="00C53D68"/>
    <w:rsid w:val="00C54BC4"/>
    <w:rsid w:val="00C54E32"/>
    <w:rsid w:val="00C55FD8"/>
    <w:rsid w:val="00C57A9D"/>
    <w:rsid w:val="00C60A08"/>
    <w:rsid w:val="00C60E8E"/>
    <w:rsid w:val="00C61B46"/>
    <w:rsid w:val="00C6247E"/>
    <w:rsid w:val="00C62BC7"/>
    <w:rsid w:val="00C66C33"/>
    <w:rsid w:val="00C6713C"/>
    <w:rsid w:val="00C70F61"/>
    <w:rsid w:val="00C715EE"/>
    <w:rsid w:val="00C71A61"/>
    <w:rsid w:val="00C71CB1"/>
    <w:rsid w:val="00C72FB6"/>
    <w:rsid w:val="00C749B7"/>
    <w:rsid w:val="00C75574"/>
    <w:rsid w:val="00C776EA"/>
    <w:rsid w:val="00C8446A"/>
    <w:rsid w:val="00C84516"/>
    <w:rsid w:val="00C8454F"/>
    <w:rsid w:val="00C850D7"/>
    <w:rsid w:val="00C85760"/>
    <w:rsid w:val="00C862B9"/>
    <w:rsid w:val="00C86F98"/>
    <w:rsid w:val="00C87D3F"/>
    <w:rsid w:val="00C9043C"/>
    <w:rsid w:val="00C91E69"/>
    <w:rsid w:val="00C91F06"/>
    <w:rsid w:val="00C93365"/>
    <w:rsid w:val="00C9400B"/>
    <w:rsid w:val="00C94BF8"/>
    <w:rsid w:val="00C9591A"/>
    <w:rsid w:val="00C95FB0"/>
    <w:rsid w:val="00C96979"/>
    <w:rsid w:val="00C96C6C"/>
    <w:rsid w:val="00C97732"/>
    <w:rsid w:val="00C97A21"/>
    <w:rsid w:val="00CA02FC"/>
    <w:rsid w:val="00CA15F5"/>
    <w:rsid w:val="00CA16EF"/>
    <w:rsid w:val="00CA18EF"/>
    <w:rsid w:val="00CA1BC8"/>
    <w:rsid w:val="00CA33F6"/>
    <w:rsid w:val="00CA3497"/>
    <w:rsid w:val="00CA4D63"/>
    <w:rsid w:val="00CA60C4"/>
    <w:rsid w:val="00CA618D"/>
    <w:rsid w:val="00CA68B7"/>
    <w:rsid w:val="00CA7FB1"/>
    <w:rsid w:val="00CB19AB"/>
    <w:rsid w:val="00CB1BF5"/>
    <w:rsid w:val="00CB1C8B"/>
    <w:rsid w:val="00CB462F"/>
    <w:rsid w:val="00CB5B55"/>
    <w:rsid w:val="00CB5BFF"/>
    <w:rsid w:val="00CB6011"/>
    <w:rsid w:val="00CB7E5D"/>
    <w:rsid w:val="00CC0C5F"/>
    <w:rsid w:val="00CC0EDC"/>
    <w:rsid w:val="00CC30EE"/>
    <w:rsid w:val="00CD2699"/>
    <w:rsid w:val="00CD427D"/>
    <w:rsid w:val="00CD54EB"/>
    <w:rsid w:val="00CD5685"/>
    <w:rsid w:val="00CD6D23"/>
    <w:rsid w:val="00CE0341"/>
    <w:rsid w:val="00CE1B1D"/>
    <w:rsid w:val="00CE33A7"/>
    <w:rsid w:val="00CE4369"/>
    <w:rsid w:val="00CE5739"/>
    <w:rsid w:val="00CE59B4"/>
    <w:rsid w:val="00CE6171"/>
    <w:rsid w:val="00CE6257"/>
    <w:rsid w:val="00CF0469"/>
    <w:rsid w:val="00CF0EE7"/>
    <w:rsid w:val="00CF1AE4"/>
    <w:rsid w:val="00CF288E"/>
    <w:rsid w:val="00CF3761"/>
    <w:rsid w:val="00CF54AE"/>
    <w:rsid w:val="00CF5764"/>
    <w:rsid w:val="00CF5AD4"/>
    <w:rsid w:val="00CF68F6"/>
    <w:rsid w:val="00CF6AEF"/>
    <w:rsid w:val="00D00CE5"/>
    <w:rsid w:val="00D0421A"/>
    <w:rsid w:val="00D05E23"/>
    <w:rsid w:val="00D05EDC"/>
    <w:rsid w:val="00D06128"/>
    <w:rsid w:val="00D1002F"/>
    <w:rsid w:val="00D10143"/>
    <w:rsid w:val="00D10196"/>
    <w:rsid w:val="00D103F9"/>
    <w:rsid w:val="00D1048B"/>
    <w:rsid w:val="00D11608"/>
    <w:rsid w:val="00D11E03"/>
    <w:rsid w:val="00D12306"/>
    <w:rsid w:val="00D12523"/>
    <w:rsid w:val="00D14995"/>
    <w:rsid w:val="00D1771A"/>
    <w:rsid w:val="00D17D91"/>
    <w:rsid w:val="00D21ACA"/>
    <w:rsid w:val="00D21FF1"/>
    <w:rsid w:val="00D22675"/>
    <w:rsid w:val="00D22D3A"/>
    <w:rsid w:val="00D245B9"/>
    <w:rsid w:val="00D2584B"/>
    <w:rsid w:val="00D25AD3"/>
    <w:rsid w:val="00D27A94"/>
    <w:rsid w:val="00D328E7"/>
    <w:rsid w:val="00D33EC2"/>
    <w:rsid w:val="00D35050"/>
    <w:rsid w:val="00D361C9"/>
    <w:rsid w:val="00D364BC"/>
    <w:rsid w:val="00D36C44"/>
    <w:rsid w:val="00D36EDB"/>
    <w:rsid w:val="00D37EAA"/>
    <w:rsid w:val="00D37EBA"/>
    <w:rsid w:val="00D40454"/>
    <w:rsid w:val="00D40DD4"/>
    <w:rsid w:val="00D46BA9"/>
    <w:rsid w:val="00D46E70"/>
    <w:rsid w:val="00D5079C"/>
    <w:rsid w:val="00D52131"/>
    <w:rsid w:val="00D53E5E"/>
    <w:rsid w:val="00D54430"/>
    <w:rsid w:val="00D55469"/>
    <w:rsid w:val="00D600B5"/>
    <w:rsid w:val="00D60BDC"/>
    <w:rsid w:val="00D61B84"/>
    <w:rsid w:val="00D630A9"/>
    <w:rsid w:val="00D64491"/>
    <w:rsid w:val="00D673BE"/>
    <w:rsid w:val="00D70B8C"/>
    <w:rsid w:val="00D715B4"/>
    <w:rsid w:val="00D73679"/>
    <w:rsid w:val="00D75E79"/>
    <w:rsid w:val="00D76D55"/>
    <w:rsid w:val="00D76E32"/>
    <w:rsid w:val="00D77134"/>
    <w:rsid w:val="00D84C3D"/>
    <w:rsid w:val="00D85127"/>
    <w:rsid w:val="00D87B66"/>
    <w:rsid w:val="00D87EBE"/>
    <w:rsid w:val="00D87F63"/>
    <w:rsid w:val="00D900DD"/>
    <w:rsid w:val="00D900FF"/>
    <w:rsid w:val="00D90B30"/>
    <w:rsid w:val="00D91435"/>
    <w:rsid w:val="00D9216E"/>
    <w:rsid w:val="00D9268A"/>
    <w:rsid w:val="00D94E45"/>
    <w:rsid w:val="00D95712"/>
    <w:rsid w:val="00D957F9"/>
    <w:rsid w:val="00D9592B"/>
    <w:rsid w:val="00D96AC4"/>
    <w:rsid w:val="00D97A74"/>
    <w:rsid w:val="00D97F22"/>
    <w:rsid w:val="00DA07DE"/>
    <w:rsid w:val="00DA091A"/>
    <w:rsid w:val="00DA1568"/>
    <w:rsid w:val="00DA2BA4"/>
    <w:rsid w:val="00DA3029"/>
    <w:rsid w:val="00DA7AA5"/>
    <w:rsid w:val="00DA7CB5"/>
    <w:rsid w:val="00DB2354"/>
    <w:rsid w:val="00DB2594"/>
    <w:rsid w:val="00DB3CDB"/>
    <w:rsid w:val="00DB40A9"/>
    <w:rsid w:val="00DB41D7"/>
    <w:rsid w:val="00DB6C2C"/>
    <w:rsid w:val="00DC3A73"/>
    <w:rsid w:val="00DC4018"/>
    <w:rsid w:val="00DC5230"/>
    <w:rsid w:val="00DC524F"/>
    <w:rsid w:val="00DC5997"/>
    <w:rsid w:val="00DC59D6"/>
    <w:rsid w:val="00DC60B3"/>
    <w:rsid w:val="00DC695C"/>
    <w:rsid w:val="00DC7C40"/>
    <w:rsid w:val="00DC7E2D"/>
    <w:rsid w:val="00DD0A00"/>
    <w:rsid w:val="00DD0F24"/>
    <w:rsid w:val="00DD1787"/>
    <w:rsid w:val="00DD1EE1"/>
    <w:rsid w:val="00DD2216"/>
    <w:rsid w:val="00DD327F"/>
    <w:rsid w:val="00DD4286"/>
    <w:rsid w:val="00DD6BC6"/>
    <w:rsid w:val="00DD707A"/>
    <w:rsid w:val="00DE09F4"/>
    <w:rsid w:val="00DE3076"/>
    <w:rsid w:val="00DE4479"/>
    <w:rsid w:val="00DE52E3"/>
    <w:rsid w:val="00DE7D28"/>
    <w:rsid w:val="00DF0E26"/>
    <w:rsid w:val="00DF18CC"/>
    <w:rsid w:val="00DF2456"/>
    <w:rsid w:val="00DF467F"/>
    <w:rsid w:val="00DF7066"/>
    <w:rsid w:val="00DF7F43"/>
    <w:rsid w:val="00E00693"/>
    <w:rsid w:val="00E04124"/>
    <w:rsid w:val="00E04ED1"/>
    <w:rsid w:val="00E138FB"/>
    <w:rsid w:val="00E13FE1"/>
    <w:rsid w:val="00E16259"/>
    <w:rsid w:val="00E16478"/>
    <w:rsid w:val="00E16F59"/>
    <w:rsid w:val="00E17E29"/>
    <w:rsid w:val="00E260B2"/>
    <w:rsid w:val="00E26309"/>
    <w:rsid w:val="00E26EAF"/>
    <w:rsid w:val="00E27562"/>
    <w:rsid w:val="00E31034"/>
    <w:rsid w:val="00E31114"/>
    <w:rsid w:val="00E314B6"/>
    <w:rsid w:val="00E315EA"/>
    <w:rsid w:val="00E3418B"/>
    <w:rsid w:val="00E346EB"/>
    <w:rsid w:val="00E3475F"/>
    <w:rsid w:val="00E354BA"/>
    <w:rsid w:val="00E373C2"/>
    <w:rsid w:val="00E37932"/>
    <w:rsid w:val="00E407B6"/>
    <w:rsid w:val="00E41C19"/>
    <w:rsid w:val="00E41DC1"/>
    <w:rsid w:val="00E45113"/>
    <w:rsid w:val="00E451A8"/>
    <w:rsid w:val="00E46D6F"/>
    <w:rsid w:val="00E5104F"/>
    <w:rsid w:val="00E512A3"/>
    <w:rsid w:val="00E51466"/>
    <w:rsid w:val="00E51494"/>
    <w:rsid w:val="00E51FAE"/>
    <w:rsid w:val="00E5314B"/>
    <w:rsid w:val="00E531B0"/>
    <w:rsid w:val="00E54801"/>
    <w:rsid w:val="00E5567B"/>
    <w:rsid w:val="00E561D1"/>
    <w:rsid w:val="00E56C58"/>
    <w:rsid w:val="00E6204A"/>
    <w:rsid w:val="00E6405A"/>
    <w:rsid w:val="00E64F55"/>
    <w:rsid w:val="00E67700"/>
    <w:rsid w:val="00E71603"/>
    <w:rsid w:val="00E73CFB"/>
    <w:rsid w:val="00E74477"/>
    <w:rsid w:val="00E74C59"/>
    <w:rsid w:val="00E76C5A"/>
    <w:rsid w:val="00E7718E"/>
    <w:rsid w:val="00E8051E"/>
    <w:rsid w:val="00E810EE"/>
    <w:rsid w:val="00E81855"/>
    <w:rsid w:val="00E8353C"/>
    <w:rsid w:val="00E8669E"/>
    <w:rsid w:val="00E86ECE"/>
    <w:rsid w:val="00E917AD"/>
    <w:rsid w:val="00E91A43"/>
    <w:rsid w:val="00E93F46"/>
    <w:rsid w:val="00E96A11"/>
    <w:rsid w:val="00E97364"/>
    <w:rsid w:val="00EA0132"/>
    <w:rsid w:val="00EA02B0"/>
    <w:rsid w:val="00EA16E7"/>
    <w:rsid w:val="00EA22BE"/>
    <w:rsid w:val="00EA2505"/>
    <w:rsid w:val="00EA2B26"/>
    <w:rsid w:val="00EA4747"/>
    <w:rsid w:val="00EA7F07"/>
    <w:rsid w:val="00EB1634"/>
    <w:rsid w:val="00EB1E33"/>
    <w:rsid w:val="00EB288E"/>
    <w:rsid w:val="00EB5D8F"/>
    <w:rsid w:val="00EB626C"/>
    <w:rsid w:val="00EC1C58"/>
    <w:rsid w:val="00EC24A7"/>
    <w:rsid w:val="00EC29D8"/>
    <w:rsid w:val="00EC4AA5"/>
    <w:rsid w:val="00EC5961"/>
    <w:rsid w:val="00EC5CCF"/>
    <w:rsid w:val="00EC6AC8"/>
    <w:rsid w:val="00EC6B12"/>
    <w:rsid w:val="00EC6C35"/>
    <w:rsid w:val="00EC7EC4"/>
    <w:rsid w:val="00ED00E3"/>
    <w:rsid w:val="00ED2944"/>
    <w:rsid w:val="00ED4849"/>
    <w:rsid w:val="00ED4979"/>
    <w:rsid w:val="00ED52F0"/>
    <w:rsid w:val="00ED53F4"/>
    <w:rsid w:val="00ED5B33"/>
    <w:rsid w:val="00ED6E18"/>
    <w:rsid w:val="00EE1886"/>
    <w:rsid w:val="00EE2D07"/>
    <w:rsid w:val="00EE3ED2"/>
    <w:rsid w:val="00EE7968"/>
    <w:rsid w:val="00EE7DE9"/>
    <w:rsid w:val="00EE7FCC"/>
    <w:rsid w:val="00EF0B52"/>
    <w:rsid w:val="00EF14E5"/>
    <w:rsid w:val="00EF1AB4"/>
    <w:rsid w:val="00EF2089"/>
    <w:rsid w:val="00EF21D4"/>
    <w:rsid w:val="00EF2AA3"/>
    <w:rsid w:val="00EF2EE2"/>
    <w:rsid w:val="00EF33C9"/>
    <w:rsid w:val="00EF44AD"/>
    <w:rsid w:val="00EF59A2"/>
    <w:rsid w:val="00EF60F3"/>
    <w:rsid w:val="00EF6693"/>
    <w:rsid w:val="00EF7F78"/>
    <w:rsid w:val="00F00841"/>
    <w:rsid w:val="00F0120D"/>
    <w:rsid w:val="00F01821"/>
    <w:rsid w:val="00F0197A"/>
    <w:rsid w:val="00F01FDE"/>
    <w:rsid w:val="00F0237B"/>
    <w:rsid w:val="00F02A8F"/>
    <w:rsid w:val="00F03F16"/>
    <w:rsid w:val="00F04D3F"/>
    <w:rsid w:val="00F067E4"/>
    <w:rsid w:val="00F07451"/>
    <w:rsid w:val="00F07A40"/>
    <w:rsid w:val="00F11FF5"/>
    <w:rsid w:val="00F1415C"/>
    <w:rsid w:val="00F15FBF"/>
    <w:rsid w:val="00F17C21"/>
    <w:rsid w:val="00F20A0E"/>
    <w:rsid w:val="00F21281"/>
    <w:rsid w:val="00F21BF5"/>
    <w:rsid w:val="00F239B5"/>
    <w:rsid w:val="00F23B90"/>
    <w:rsid w:val="00F2494B"/>
    <w:rsid w:val="00F260FE"/>
    <w:rsid w:val="00F262D4"/>
    <w:rsid w:val="00F269CF"/>
    <w:rsid w:val="00F273BA"/>
    <w:rsid w:val="00F30F01"/>
    <w:rsid w:val="00F33236"/>
    <w:rsid w:val="00F33364"/>
    <w:rsid w:val="00F33A41"/>
    <w:rsid w:val="00F358BF"/>
    <w:rsid w:val="00F36669"/>
    <w:rsid w:val="00F37253"/>
    <w:rsid w:val="00F37926"/>
    <w:rsid w:val="00F42A33"/>
    <w:rsid w:val="00F43314"/>
    <w:rsid w:val="00F43992"/>
    <w:rsid w:val="00F4508A"/>
    <w:rsid w:val="00F466DC"/>
    <w:rsid w:val="00F4681C"/>
    <w:rsid w:val="00F46C05"/>
    <w:rsid w:val="00F50F36"/>
    <w:rsid w:val="00F51E13"/>
    <w:rsid w:val="00F5490F"/>
    <w:rsid w:val="00F54E31"/>
    <w:rsid w:val="00F54E92"/>
    <w:rsid w:val="00F56582"/>
    <w:rsid w:val="00F56D79"/>
    <w:rsid w:val="00F56E34"/>
    <w:rsid w:val="00F6000A"/>
    <w:rsid w:val="00F60683"/>
    <w:rsid w:val="00F6101C"/>
    <w:rsid w:val="00F61564"/>
    <w:rsid w:val="00F61A19"/>
    <w:rsid w:val="00F63D68"/>
    <w:rsid w:val="00F64BCC"/>
    <w:rsid w:val="00F64F97"/>
    <w:rsid w:val="00F700C0"/>
    <w:rsid w:val="00F70D62"/>
    <w:rsid w:val="00F72FFD"/>
    <w:rsid w:val="00F736C2"/>
    <w:rsid w:val="00F752CF"/>
    <w:rsid w:val="00F75C62"/>
    <w:rsid w:val="00F75CDC"/>
    <w:rsid w:val="00F766CE"/>
    <w:rsid w:val="00F8024A"/>
    <w:rsid w:val="00F835E6"/>
    <w:rsid w:val="00F905F4"/>
    <w:rsid w:val="00F90913"/>
    <w:rsid w:val="00F90FAC"/>
    <w:rsid w:val="00F91E6F"/>
    <w:rsid w:val="00F94E17"/>
    <w:rsid w:val="00F94E43"/>
    <w:rsid w:val="00F955C4"/>
    <w:rsid w:val="00F96126"/>
    <w:rsid w:val="00F9697C"/>
    <w:rsid w:val="00F96B50"/>
    <w:rsid w:val="00FA2B58"/>
    <w:rsid w:val="00FA5A02"/>
    <w:rsid w:val="00FA60D4"/>
    <w:rsid w:val="00FA6251"/>
    <w:rsid w:val="00FA65A8"/>
    <w:rsid w:val="00FA6717"/>
    <w:rsid w:val="00FA683D"/>
    <w:rsid w:val="00FA735A"/>
    <w:rsid w:val="00FA7C33"/>
    <w:rsid w:val="00FB2FF3"/>
    <w:rsid w:val="00FB483F"/>
    <w:rsid w:val="00FC22E4"/>
    <w:rsid w:val="00FC24DB"/>
    <w:rsid w:val="00FC2D58"/>
    <w:rsid w:val="00FC45D1"/>
    <w:rsid w:val="00FC4CFE"/>
    <w:rsid w:val="00FD02C4"/>
    <w:rsid w:val="00FD06ED"/>
    <w:rsid w:val="00FD2FA3"/>
    <w:rsid w:val="00FD3E27"/>
    <w:rsid w:val="00FD3EAE"/>
    <w:rsid w:val="00FD4375"/>
    <w:rsid w:val="00FD6499"/>
    <w:rsid w:val="00FD7E6B"/>
    <w:rsid w:val="00FE04CB"/>
    <w:rsid w:val="00FE05B6"/>
    <w:rsid w:val="00FE1D06"/>
    <w:rsid w:val="00FE1FFE"/>
    <w:rsid w:val="00FE4ABC"/>
    <w:rsid w:val="00FE59E1"/>
    <w:rsid w:val="00FE5DAF"/>
    <w:rsid w:val="00FE64BA"/>
    <w:rsid w:val="00FF2B87"/>
    <w:rsid w:val="00FF4539"/>
    <w:rsid w:val="00FF4CF1"/>
    <w:rsid w:val="00FF53CD"/>
    <w:rsid w:val="00FF7617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13EB58C"/>
  <w15:chartTrackingRefBased/>
  <w15:docId w15:val="{84BCB6A3-60E0-464E-94C4-D12FF538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B4D"/>
    <w:pPr>
      <w:spacing w:line="480" w:lineRule="auto"/>
    </w:pPr>
    <w:rPr>
      <w:rFonts w:ascii="Arial" w:hAnsi="Arial" w:cs="Arial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86BFF"/>
    <w:pPr>
      <w:keepNext/>
      <w:keepLines/>
      <w:spacing w:before="40" w:after="0"/>
      <w:contextualSpacing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5B4D"/>
    <w:pPr>
      <w:keepNext/>
      <w:keepLines/>
      <w:spacing w:before="40" w:after="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6B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6BFF"/>
    <w:rPr>
      <w:rFonts w:ascii="Arial" w:eastAsiaTheme="majorEastAsia" w:hAnsi="Arial" w:cstheme="majorBidi"/>
      <w:b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15B4D"/>
    <w:rPr>
      <w:rFonts w:ascii="Arial" w:eastAsiaTheme="majorEastAsia" w:hAnsi="Arial" w:cstheme="majorBidi"/>
      <w:b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15B4D"/>
    <w:pPr>
      <w:numPr>
        <w:numId w:val="2"/>
      </w:numPr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15B4D"/>
    <w:rPr>
      <w:rFonts w:ascii="Arial" w:hAnsi="Arial" w:cs="Arial"/>
      <w:sz w:val="24"/>
      <w:szCs w:val="24"/>
      <w:lang w:val="en-US"/>
    </w:rPr>
  </w:style>
  <w:style w:type="table" w:styleId="TableGrid">
    <w:name w:val="Table Grid"/>
    <w:basedOn w:val="TableNormal"/>
    <w:rsid w:val="00015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0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83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347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7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75F"/>
    <w:rPr>
      <w:rFonts w:ascii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75F"/>
    <w:rPr>
      <w:rFonts w:ascii="Arial" w:hAnsi="Arial" w:cs="Arial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3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F22"/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3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F22"/>
    <w:rPr>
      <w:rFonts w:ascii="Arial" w:hAnsi="Arial" w:cs="Arial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86BF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paragraph" w:styleId="ListBullet">
    <w:name w:val="List Bullet"/>
    <w:basedOn w:val="Normal"/>
    <w:uiPriority w:val="99"/>
    <w:unhideWhenUsed/>
    <w:rsid w:val="002541C1"/>
    <w:pPr>
      <w:numPr>
        <w:numId w:val="6"/>
      </w:numPr>
      <w:contextualSpacing/>
    </w:pPr>
  </w:style>
  <w:style w:type="paragraph" w:styleId="Revision">
    <w:name w:val="Revision"/>
    <w:hidden/>
    <w:uiPriority w:val="99"/>
    <w:semiHidden/>
    <w:rsid w:val="00D245B9"/>
    <w:pPr>
      <w:spacing w:after="0" w:line="240" w:lineRule="auto"/>
    </w:pPr>
    <w:rPr>
      <w:rFonts w:ascii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1087</Words>
  <Characters>6201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Goyeau, Harmonie /FR</dc:creator>
  <cp:keywords/>
  <dc:description/>
  <cp:lastModifiedBy>Jennina Taylor-Wells</cp:lastModifiedBy>
  <cp:revision>4</cp:revision>
  <dcterms:created xsi:type="dcterms:W3CDTF">2020-05-14T13:51:00Z</dcterms:created>
  <dcterms:modified xsi:type="dcterms:W3CDTF">2020-05-14T14:16:00Z</dcterms:modified>
</cp:coreProperties>
</file>