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307" w:rsidRDefault="00007C9B" w:rsidP="00007C9B">
      <w:pPr>
        <w:jc w:val="center"/>
      </w:pPr>
      <w:r>
        <w:rPr>
          <w:noProof/>
        </w:rPr>
        <w:drawing>
          <wp:inline distT="0" distB="0" distL="0" distR="0" wp14:anchorId="2F22DF3F" wp14:editId="3DFF0C55">
            <wp:extent cx="4655127" cy="580647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612" cy="58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C9B" w:rsidRPr="00007C9B" w:rsidRDefault="00007C9B" w:rsidP="00007C9B">
      <w:r w:rsidRPr="00007C9B">
        <w:rPr>
          <w:b/>
          <w:bCs/>
        </w:rPr>
        <w:t xml:space="preserve">Figure S1. Timeline of type 2 diabetes and diabetic hind limb ischemia (HLI) induction. </w:t>
      </w:r>
      <w:r w:rsidRPr="00007C9B">
        <w:t xml:space="preserve">JTMT and WT male mice at age of 8-10 weeks were fed with high fat diet (HFD, Research Diets 12492, 60% kcal from fat) or normal diet (ND, Research Diets 12450B, </w:t>
      </w:r>
      <w:proofErr w:type="gramStart"/>
      <w:r w:rsidRPr="00007C9B">
        <w:t>10</w:t>
      </w:r>
      <w:proofErr w:type="gramEnd"/>
      <w:r w:rsidRPr="00007C9B">
        <w:t>% kcal from fat) for 23 weeks (</w:t>
      </w:r>
      <w:r w:rsidRPr="00007C9B">
        <w:rPr>
          <w:b/>
          <w:bCs/>
        </w:rPr>
        <w:t>A</w:t>
      </w:r>
      <w:r w:rsidRPr="00007C9B">
        <w:t xml:space="preserve">). Body weight </w:t>
      </w:r>
      <w:proofErr w:type="gramStart"/>
      <w:r w:rsidRPr="00007C9B">
        <w:t>was monitored</w:t>
      </w:r>
      <w:proofErr w:type="gramEnd"/>
      <w:r w:rsidRPr="00007C9B">
        <w:t xml:space="preserve"> every week (</w:t>
      </w:r>
      <w:r w:rsidRPr="00007C9B">
        <w:rPr>
          <w:b/>
          <w:bCs/>
        </w:rPr>
        <w:t>B</w:t>
      </w:r>
      <w:r w:rsidRPr="00007C9B">
        <w:t>) and blood glucose levels were monitored every other week (</w:t>
      </w:r>
      <w:r w:rsidRPr="00007C9B">
        <w:rPr>
          <w:b/>
          <w:bCs/>
        </w:rPr>
        <w:t>C</w:t>
      </w:r>
      <w:r w:rsidRPr="00007C9B">
        <w:t xml:space="preserve">). After 8 weeks on HFD, intraperitoneal glucose tolerance test (IPGTT) </w:t>
      </w:r>
      <w:proofErr w:type="gramStart"/>
      <w:r w:rsidRPr="00007C9B">
        <w:t>was performed</w:t>
      </w:r>
      <w:proofErr w:type="gramEnd"/>
      <w:r w:rsidRPr="00007C9B">
        <w:t xml:space="preserve"> to confirm the glucose intolerant status (</w:t>
      </w:r>
      <w:r w:rsidRPr="00007C9B">
        <w:rPr>
          <w:b/>
          <w:bCs/>
        </w:rPr>
        <w:t>D, E</w:t>
      </w:r>
      <w:r w:rsidRPr="00007C9B">
        <w:t xml:space="preserve">). After 15 weeks on HFD, HFD feeding mice with glucose intolerance were injected a single dose of </w:t>
      </w:r>
      <w:proofErr w:type="spellStart"/>
      <w:r w:rsidRPr="00007C9B">
        <w:t>streptozocin</w:t>
      </w:r>
      <w:proofErr w:type="spellEnd"/>
      <w:r w:rsidRPr="00007C9B">
        <w:t xml:space="preserve"> (STZ, 100mg/kg, Sigma, St. Louis, MO) in 0.1 </w:t>
      </w:r>
      <w:proofErr w:type="spellStart"/>
      <w:r w:rsidRPr="00007C9B">
        <w:t>mol</w:t>
      </w:r>
      <w:proofErr w:type="spellEnd"/>
      <w:r w:rsidRPr="00007C9B">
        <w:t>/L sodium citrate buffer (pH 4.5) to induce insulin deficiency and hyperglycemia. Seven days after the injection of STZ, mice with blood glucose levels ≥ 250 mg/</w:t>
      </w:r>
      <w:proofErr w:type="spellStart"/>
      <w:r w:rsidRPr="00007C9B">
        <w:t>dL</w:t>
      </w:r>
      <w:proofErr w:type="spellEnd"/>
      <w:r w:rsidRPr="00007C9B">
        <w:t xml:space="preserve"> were considered diabetic (</w:t>
      </w:r>
      <w:r w:rsidRPr="00007C9B">
        <w:rPr>
          <w:b/>
          <w:bCs/>
        </w:rPr>
        <w:t>C</w:t>
      </w:r>
      <w:r w:rsidRPr="00007C9B">
        <w:t xml:space="preserve">). Mice feeding with ND </w:t>
      </w:r>
      <w:proofErr w:type="gramStart"/>
      <w:r w:rsidRPr="00007C9B">
        <w:t>were injected</w:t>
      </w:r>
      <w:proofErr w:type="gramEnd"/>
      <w:r w:rsidRPr="00007C9B">
        <w:t xml:space="preserve"> a single dose of 0.1 </w:t>
      </w:r>
      <w:proofErr w:type="spellStart"/>
      <w:r w:rsidRPr="00007C9B">
        <w:t>mol</w:t>
      </w:r>
      <w:proofErr w:type="spellEnd"/>
      <w:r w:rsidRPr="00007C9B">
        <w:t xml:space="preserve">/L sodium citrate buffer (pH 4.5) as controls. Four weeks after STZ injection, the mice </w:t>
      </w:r>
      <w:proofErr w:type="gramStart"/>
      <w:r w:rsidRPr="00007C9B">
        <w:t>were used</w:t>
      </w:r>
      <w:proofErr w:type="gramEnd"/>
      <w:r w:rsidRPr="00007C9B">
        <w:t xml:space="preserve"> for HLI induction (</w:t>
      </w:r>
      <w:r w:rsidRPr="00007C9B">
        <w:rPr>
          <w:b/>
          <w:bCs/>
        </w:rPr>
        <w:t>A</w:t>
      </w:r>
      <w:r w:rsidRPr="00007C9B">
        <w:t xml:space="preserve">). Data shown in graphs represent the </w:t>
      </w:r>
      <w:proofErr w:type="spellStart"/>
      <w:r w:rsidRPr="00007C9B">
        <w:t>mean±SD</w:t>
      </w:r>
      <w:proofErr w:type="spellEnd"/>
      <w:r w:rsidRPr="00007C9B">
        <w:t xml:space="preserve">. n≥9 mice per group. * P&lt;0.05, vs respective controls of WT and JTMT. Ctrl, control; DM, type 2 diabetes mellitus. </w:t>
      </w:r>
    </w:p>
    <w:p w:rsidR="00007C9B" w:rsidRDefault="001B5794" w:rsidP="00007C9B">
      <w:pPr>
        <w:jc w:val="center"/>
      </w:pPr>
      <w:r>
        <w:rPr>
          <w:noProof/>
        </w:rPr>
        <w:lastRenderedPageBreak/>
        <w:drawing>
          <wp:inline distT="0" distB="0" distL="0" distR="0" wp14:anchorId="670D181C" wp14:editId="793C3CC0">
            <wp:extent cx="3487347" cy="445324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2401" cy="44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794" w:rsidRPr="001B5794" w:rsidRDefault="001B5794" w:rsidP="001B5794">
      <w:r w:rsidRPr="001B5794">
        <w:rPr>
          <w:b/>
          <w:bCs/>
        </w:rPr>
        <w:t>Figure S2. Optimizing the dose of hypoxia-inducible factor 1α (HIF-1α) siRNA.</w:t>
      </w:r>
      <w:r w:rsidRPr="001B5794">
        <w:t xml:space="preserve"> To knockdown HIF-1α expression in early bone marrow endothelial progenitor cells (BM-EPCs) from JTMT mice, two different specific siRNAs (HIF-1</w:t>
      </w:r>
      <w:r w:rsidRPr="001B5794">
        <w:rPr>
          <w:lang w:val="el-GR"/>
        </w:rPr>
        <w:t>α-</w:t>
      </w:r>
      <w:r w:rsidRPr="001B5794">
        <w:t>siRNA-1 and HIF-1</w:t>
      </w:r>
      <w:r w:rsidRPr="001B5794">
        <w:rPr>
          <w:lang w:val="el-GR"/>
        </w:rPr>
        <w:t>α-</w:t>
      </w:r>
      <w:r w:rsidRPr="001B5794">
        <w:t xml:space="preserve">siRNA-2) against mouse HIF-1α, alone with Silencer Select Negative Control were transfected into EPCs. HIF-1α-siRNAs dose-dependently interfered HIF-1α expression detected by Western blot assay. </w:t>
      </w:r>
      <w:proofErr w:type="gramStart"/>
      <w:r w:rsidRPr="001B5794">
        <w:t>β-actin</w:t>
      </w:r>
      <w:proofErr w:type="gramEnd"/>
      <w:r w:rsidRPr="001B5794">
        <w:t xml:space="preserve"> was used as loading control. Accordingly, 80 </w:t>
      </w:r>
      <w:proofErr w:type="spellStart"/>
      <w:r w:rsidRPr="001B5794">
        <w:t>nmol</w:t>
      </w:r>
      <w:proofErr w:type="spellEnd"/>
      <w:r w:rsidRPr="001B5794">
        <w:t xml:space="preserve">/L </w:t>
      </w:r>
      <w:proofErr w:type="gramStart"/>
      <w:r w:rsidRPr="001B5794">
        <w:t>was chosen</w:t>
      </w:r>
      <w:proofErr w:type="gramEnd"/>
      <w:r w:rsidRPr="001B5794">
        <w:t xml:space="preserve"> for </w:t>
      </w:r>
      <w:r w:rsidRPr="001B5794">
        <w:rPr>
          <w:i/>
          <w:iCs/>
        </w:rPr>
        <w:t>ex vivo</w:t>
      </w:r>
      <w:r w:rsidRPr="001B5794">
        <w:t xml:space="preserve"> studies.</w:t>
      </w:r>
    </w:p>
    <w:p w:rsidR="001B5794" w:rsidRDefault="001B5794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  <w:r>
        <w:rPr>
          <w:noProof/>
        </w:rPr>
        <w:lastRenderedPageBreak/>
        <w:drawing>
          <wp:inline distT="0" distB="0" distL="0" distR="0" wp14:anchorId="6DF1FA54" wp14:editId="12C74D2E">
            <wp:extent cx="5374200" cy="542702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220" cy="54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1D" w:rsidRPr="00B31F1D" w:rsidRDefault="00B31F1D" w:rsidP="00B31F1D">
      <w:r w:rsidRPr="00B31F1D">
        <w:rPr>
          <w:b/>
          <w:bCs/>
        </w:rPr>
        <w:t>Figure S3. The expression of pro-</w:t>
      </w:r>
      <w:proofErr w:type="spellStart"/>
      <w:r w:rsidRPr="00B31F1D">
        <w:rPr>
          <w:b/>
          <w:bCs/>
        </w:rPr>
        <w:t>angiogenic</w:t>
      </w:r>
      <w:proofErr w:type="spellEnd"/>
      <w:r w:rsidRPr="00B31F1D">
        <w:rPr>
          <w:b/>
          <w:bCs/>
        </w:rPr>
        <w:t xml:space="preserve"> factors in the contralateral non-ischemic gastrocnemius muscle in WT and JTMT mice. </w:t>
      </w:r>
      <w:r w:rsidRPr="00B31F1D">
        <w:t xml:space="preserve">Type 2 diabetes </w:t>
      </w:r>
      <w:proofErr w:type="gramStart"/>
      <w:r w:rsidRPr="00B31F1D">
        <w:t>was induced</w:t>
      </w:r>
      <w:proofErr w:type="gramEnd"/>
      <w:r w:rsidRPr="00B31F1D">
        <w:t xml:space="preserve"> as described in Figure 1. At day 3 after HLI surgery, the expression of stromal cell-derived factor 1 (SDF-1, </w:t>
      </w:r>
      <w:r w:rsidRPr="00B31F1D">
        <w:rPr>
          <w:b/>
          <w:bCs/>
        </w:rPr>
        <w:t>A,</w:t>
      </w:r>
      <w:r w:rsidRPr="00B31F1D">
        <w:t xml:space="preserve"> </w:t>
      </w:r>
      <w:r w:rsidRPr="00B31F1D">
        <w:rPr>
          <w:b/>
          <w:bCs/>
        </w:rPr>
        <w:t>B</w:t>
      </w:r>
      <w:r w:rsidRPr="00B31F1D">
        <w:t xml:space="preserve">), vascular endothelial growth factor (VEGF, </w:t>
      </w:r>
      <w:r w:rsidRPr="00B31F1D">
        <w:rPr>
          <w:b/>
          <w:bCs/>
        </w:rPr>
        <w:t>A, C</w:t>
      </w:r>
      <w:r w:rsidRPr="00B31F1D">
        <w:t>) and hypoxia-inducible factor 1</w:t>
      </w:r>
      <w:r w:rsidRPr="00B31F1D">
        <w:rPr>
          <w:lang w:val="el-GR"/>
        </w:rPr>
        <w:t xml:space="preserve">α </w:t>
      </w:r>
      <w:r w:rsidRPr="00B31F1D">
        <w:t xml:space="preserve">(HIF-1α, </w:t>
      </w:r>
      <w:r w:rsidRPr="00B31F1D">
        <w:rPr>
          <w:b/>
          <w:bCs/>
        </w:rPr>
        <w:t>A,</w:t>
      </w:r>
      <w:r w:rsidRPr="00B31F1D">
        <w:t xml:space="preserve"> </w:t>
      </w:r>
      <w:r w:rsidRPr="00B31F1D">
        <w:rPr>
          <w:b/>
          <w:bCs/>
        </w:rPr>
        <w:t>D</w:t>
      </w:r>
      <w:r w:rsidRPr="00B31F1D">
        <w:t>), and phosphorylation of protein kinase B (</w:t>
      </w:r>
      <w:proofErr w:type="spellStart"/>
      <w:r w:rsidRPr="00B31F1D">
        <w:t>Akt</w:t>
      </w:r>
      <w:proofErr w:type="spellEnd"/>
      <w:r w:rsidRPr="00B31F1D">
        <w:t xml:space="preserve">, </w:t>
      </w:r>
      <w:r w:rsidRPr="00B31F1D">
        <w:rPr>
          <w:b/>
          <w:bCs/>
        </w:rPr>
        <w:t>A,</w:t>
      </w:r>
      <w:r w:rsidRPr="00B31F1D">
        <w:t xml:space="preserve"> </w:t>
      </w:r>
      <w:r w:rsidRPr="00B31F1D">
        <w:rPr>
          <w:b/>
          <w:bCs/>
        </w:rPr>
        <w:t>E</w:t>
      </w:r>
      <w:r w:rsidRPr="00B31F1D">
        <w:t xml:space="preserve">) in the contralateral non-ischemic gastrocnemius muscle were detected by Western blot, and β-actin was used as loading control. Data shown in graphs represent the </w:t>
      </w:r>
      <w:proofErr w:type="spellStart"/>
      <w:r w:rsidRPr="00B31F1D">
        <w:t>mean±SD</w:t>
      </w:r>
      <w:proofErr w:type="spellEnd"/>
      <w:r w:rsidRPr="00B31F1D">
        <w:t>. n≥4 mice per group. Ctrl, control; DM, diabetes mellitus.</w:t>
      </w: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AE7526" w:rsidRDefault="00AE7526" w:rsidP="00007C9B">
      <w:pPr>
        <w:jc w:val="center"/>
      </w:pPr>
    </w:p>
    <w:p w:rsidR="00AE7526" w:rsidRDefault="00AE7526" w:rsidP="00007C9B">
      <w:pPr>
        <w:jc w:val="center"/>
      </w:pPr>
    </w:p>
    <w:p w:rsidR="00AE7526" w:rsidRDefault="00AE7526" w:rsidP="00007C9B">
      <w:pPr>
        <w:jc w:val="center"/>
      </w:pPr>
      <w:r>
        <w:rPr>
          <w:noProof/>
        </w:rPr>
        <w:lastRenderedPageBreak/>
        <w:drawing>
          <wp:inline distT="0" distB="0" distL="0" distR="0" wp14:anchorId="770337D3" wp14:editId="216DB1AD">
            <wp:extent cx="4856115" cy="3218213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450" cy="323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26" w:rsidRPr="00AE7526" w:rsidRDefault="00AE7526" w:rsidP="00AE7526">
      <w:r w:rsidRPr="00AE7526">
        <w:rPr>
          <w:b/>
          <w:bCs/>
        </w:rPr>
        <w:t>Figure S4. Endothelial MT overexpression alleviates oxidative stress in diabetic HLI.</w:t>
      </w:r>
      <w:r w:rsidRPr="00AE7526">
        <w:t xml:space="preserve"> Type 2 diabetes </w:t>
      </w:r>
      <w:proofErr w:type="gramStart"/>
      <w:r w:rsidRPr="00AE7526">
        <w:t>was induced</w:t>
      </w:r>
      <w:proofErr w:type="gramEnd"/>
      <w:r w:rsidRPr="00AE7526">
        <w:t xml:space="preserve"> as described in Figure 1. At day 3 after HLI surgery, the gastrocnemius muscle lysis was used to evaluate the levels of oxidative damage markers 3-nitroryrosine (3-NT, </w:t>
      </w:r>
      <w:r w:rsidRPr="00AE7526">
        <w:rPr>
          <w:b/>
          <w:bCs/>
        </w:rPr>
        <w:t>A</w:t>
      </w:r>
      <w:r w:rsidRPr="00AE7526">
        <w:t xml:space="preserve">) and 4-hydroxynonenal (4-HNE, </w:t>
      </w:r>
      <w:r w:rsidRPr="00AE7526">
        <w:rPr>
          <w:b/>
          <w:bCs/>
        </w:rPr>
        <w:t>B</w:t>
      </w:r>
      <w:r w:rsidRPr="00AE7526">
        <w:t xml:space="preserve">) by Western blot. </w:t>
      </w:r>
      <w:proofErr w:type="gramStart"/>
      <w:r w:rsidRPr="00AE7526">
        <w:t>β-actin</w:t>
      </w:r>
      <w:proofErr w:type="gramEnd"/>
      <w:r w:rsidRPr="00AE7526">
        <w:t xml:space="preserve"> was used as loading control. Data shown in graphs represent the </w:t>
      </w:r>
      <w:proofErr w:type="spellStart"/>
      <w:r w:rsidRPr="00AE7526">
        <w:t>mean±SD</w:t>
      </w:r>
      <w:proofErr w:type="spellEnd"/>
      <w:r w:rsidRPr="00AE7526">
        <w:t>. n≥4 mice per group. * P&lt;0.05, vs WT-Ctrl; # P&lt;0.05, vs WT-DM.</w:t>
      </w:r>
    </w:p>
    <w:p w:rsidR="00AE7526" w:rsidRDefault="00AE7526" w:rsidP="00007C9B">
      <w:pPr>
        <w:jc w:val="center"/>
      </w:pPr>
    </w:p>
    <w:p w:rsidR="00AE7526" w:rsidRDefault="007F7309" w:rsidP="00007C9B">
      <w:pPr>
        <w:jc w:val="center"/>
      </w:pPr>
      <w:r>
        <w:rPr>
          <w:noProof/>
        </w:rPr>
        <w:drawing>
          <wp:inline distT="0" distB="0" distL="0" distR="0" wp14:anchorId="787A4849" wp14:editId="2EBF0F98">
            <wp:extent cx="4538438" cy="16031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3807" cy="16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309" w:rsidRPr="007F7309" w:rsidRDefault="007F7309" w:rsidP="007F7309">
      <w:r w:rsidRPr="007F7309">
        <w:rPr>
          <w:b/>
          <w:bCs/>
        </w:rPr>
        <w:t>Figure S5.</w:t>
      </w:r>
      <w:r w:rsidRPr="007F7309">
        <w:t xml:space="preserve"> </w:t>
      </w:r>
      <w:r w:rsidRPr="007F7309">
        <w:rPr>
          <w:b/>
          <w:bCs/>
        </w:rPr>
        <w:t>Expression of MT in different tissues.</w:t>
      </w:r>
      <w:r w:rsidRPr="007F7309">
        <w:t xml:space="preserve"> The expression of MT in aorta, bone marrow mononuclear cells (BM-MNCs) and BM-endothelial progenitor cells (EPCs) from WT and JTMT mice </w:t>
      </w:r>
      <w:proofErr w:type="gramStart"/>
      <w:r w:rsidRPr="007F7309">
        <w:t>was detected</w:t>
      </w:r>
      <w:proofErr w:type="gramEnd"/>
      <w:r w:rsidRPr="007F7309">
        <w:t xml:space="preserve"> by Western blot. </w:t>
      </w: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B31F1D" w:rsidP="00007C9B">
      <w:pPr>
        <w:jc w:val="center"/>
      </w:pPr>
    </w:p>
    <w:p w:rsidR="00B31F1D" w:rsidRDefault="00AB4720" w:rsidP="00007C9B">
      <w:pPr>
        <w:jc w:val="center"/>
      </w:pPr>
      <w:r>
        <w:rPr>
          <w:noProof/>
        </w:rPr>
        <w:lastRenderedPageBreak/>
        <w:drawing>
          <wp:inline distT="0" distB="0" distL="0" distR="0" wp14:anchorId="38CBD601" wp14:editId="125E874D">
            <wp:extent cx="5095340" cy="51895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1444" cy="522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720" w:rsidRPr="00AB4720" w:rsidRDefault="00AB4720" w:rsidP="00AB4720">
      <w:r w:rsidRPr="00AB4720">
        <w:rPr>
          <w:b/>
          <w:bCs/>
        </w:rPr>
        <w:t>Figure S6. The expression of pro-</w:t>
      </w:r>
      <w:proofErr w:type="spellStart"/>
      <w:r w:rsidRPr="00AB4720">
        <w:rPr>
          <w:b/>
          <w:bCs/>
        </w:rPr>
        <w:t>angiogenic</w:t>
      </w:r>
      <w:proofErr w:type="spellEnd"/>
      <w:r w:rsidRPr="00AB4720">
        <w:rPr>
          <w:b/>
          <w:bCs/>
        </w:rPr>
        <w:t xml:space="preserve"> factors in the contralateral non-ischemic gastrocnemius muscle in </w:t>
      </w:r>
      <w:proofErr w:type="spellStart"/>
      <w:r w:rsidRPr="00AB4720">
        <w:rPr>
          <w:b/>
          <w:bCs/>
        </w:rPr>
        <w:t>db</w:t>
      </w:r>
      <w:proofErr w:type="spellEnd"/>
      <w:r w:rsidRPr="00AB4720">
        <w:rPr>
          <w:b/>
          <w:bCs/>
        </w:rPr>
        <w:t>/</w:t>
      </w:r>
      <w:proofErr w:type="spellStart"/>
      <w:r w:rsidRPr="00AB4720">
        <w:rPr>
          <w:b/>
          <w:bCs/>
        </w:rPr>
        <w:t>db</w:t>
      </w:r>
      <w:proofErr w:type="spellEnd"/>
      <w:r w:rsidRPr="00AB4720">
        <w:rPr>
          <w:b/>
          <w:bCs/>
        </w:rPr>
        <w:t xml:space="preserve"> mice infused with WT-MNCs and JTMT-MNCs. </w:t>
      </w:r>
      <w:r w:rsidRPr="00AB4720">
        <w:t xml:space="preserve">BM-MNCs transplantation </w:t>
      </w:r>
      <w:proofErr w:type="gramStart"/>
      <w:r w:rsidRPr="00AB4720">
        <w:t>was performed</w:t>
      </w:r>
      <w:proofErr w:type="gramEnd"/>
      <w:r w:rsidRPr="00AB4720">
        <w:t xml:space="preserve"> as described in Figure 3. At day 7 after HLI surgery, the expression of stromal cell-derived factor 1 (SDF-1, </w:t>
      </w:r>
      <w:r w:rsidRPr="00AB4720">
        <w:rPr>
          <w:b/>
          <w:bCs/>
        </w:rPr>
        <w:t>A,</w:t>
      </w:r>
      <w:r w:rsidRPr="00AB4720">
        <w:t xml:space="preserve"> </w:t>
      </w:r>
      <w:r w:rsidRPr="00AB4720">
        <w:rPr>
          <w:b/>
          <w:bCs/>
        </w:rPr>
        <w:t>B</w:t>
      </w:r>
      <w:r w:rsidRPr="00AB4720">
        <w:t xml:space="preserve">), vascular endothelial growth factor (VEGF, </w:t>
      </w:r>
      <w:r w:rsidRPr="00AB4720">
        <w:rPr>
          <w:b/>
          <w:bCs/>
        </w:rPr>
        <w:t>A, C</w:t>
      </w:r>
      <w:r w:rsidRPr="00AB4720">
        <w:t>) and hypoxia-inducible factor 1</w:t>
      </w:r>
      <w:r w:rsidRPr="00AB4720">
        <w:rPr>
          <w:lang w:val="el-GR"/>
        </w:rPr>
        <w:t xml:space="preserve">α </w:t>
      </w:r>
      <w:r w:rsidRPr="00AB4720">
        <w:t xml:space="preserve">(HIF-1α, </w:t>
      </w:r>
      <w:r w:rsidRPr="00AB4720">
        <w:rPr>
          <w:b/>
          <w:bCs/>
        </w:rPr>
        <w:t>A,</w:t>
      </w:r>
      <w:r w:rsidRPr="00AB4720">
        <w:t xml:space="preserve"> </w:t>
      </w:r>
      <w:r w:rsidRPr="00AB4720">
        <w:rPr>
          <w:b/>
          <w:bCs/>
        </w:rPr>
        <w:t>D</w:t>
      </w:r>
      <w:r w:rsidRPr="00AB4720">
        <w:t>), and phosphorylation of protein kinase B (</w:t>
      </w:r>
      <w:proofErr w:type="spellStart"/>
      <w:r w:rsidRPr="00AB4720">
        <w:t>Akt</w:t>
      </w:r>
      <w:proofErr w:type="spellEnd"/>
      <w:r w:rsidRPr="00AB4720">
        <w:t xml:space="preserve">, </w:t>
      </w:r>
      <w:r w:rsidRPr="00AB4720">
        <w:rPr>
          <w:b/>
          <w:bCs/>
        </w:rPr>
        <w:t>A,</w:t>
      </w:r>
      <w:r w:rsidRPr="00AB4720">
        <w:t xml:space="preserve"> </w:t>
      </w:r>
      <w:r w:rsidRPr="00AB4720">
        <w:rPr>
          <w:b/>
          <w:bCs/>
        </w:rPr>
        <w:t>E</w:t>
      </w:r>
      <w:r w:rsidRPr="00AB4720">
        <w:t xml:space="preserve">) in the contralateral non-ischemic gastrocnemius muscle were detected by Western blot, and β-actin was used as loading control. Data shown in graphs represent the </w:t>
      </w:r>
      <w:proofErr w:type="spellStart"/>
      <w:r w:rsidRPr="00AB4720">
        <w:t>mean±SD</w:t>
      </w:r>
      <w:proofErr w:type="spellEnd"/>
      <w:r w:rsidRPr="00AB4720">
        <w:t>. N=</w:t>
      </w:r>
      <w:proofErr w:type="gramStart"/>
      <w:r w:rsidRPr="00AB4720">
        <w:t>5</w:t>
      </w:r>
      <w:proofErr w:type="gramEnd"/>
      <w:r w:rsidRPr="00AB4720">
        <w:t xml:space="preserve"> mice per group.</w:t>
      </w:r>
    </w:p>
    <w:p w:rsidR="001B5794" w:rsidRDefault="001B5794" w:rsidP="00007C9B">
      <w:pPr>
        <w:jc w:val="center"/>
      </w:pPr>
    </w:p>
    <w:p w:rsidR="00D4342D" w:rsidRDefault="00D4342D" w:rsidP="00007C9B">
      <w:pPr>
        <w:jc w:val="center"/>
      </w:pPr>
    </w:p>
    <w:p w:rsidR="00D4342D" w:rsidRDefault="00D4342D" w:rsidP="00007C9B">
      <w:pPr>
        <w:jc w:val="center"/>
      </w:pPr>
    </w:p>
    <w:p w:rsidR="00D4342D" w:rsidRDefault="00D4342D" w:rsidP="00007C9B">
      <w:pPr>
        <w:jc w:val="center"/>
      </w:pPr>
    </w:p>
    <w:p w:rsidR="00D4342D" w:rsidRDefault="00D4342D" w:rsidP="00007C9B">
      <w:pPr>
        <w:jc w:val="center"/>
      </w:pPr>
    </w:p>
    <w:p w:rsidR="00D4342D" w:rsidRDefault="00D4342D" w:rsidP="00007C9B">
      <w:pPr>
        <w:jc w:val="center"/>
      </w:pPr>
      <w:r>
        <w:rPr>
          <w:noProof/>
        </w:rPr>
        <w:lastRenderedPageBreak/>
        <w:drawing>
          <wp:inline distT="0" distB="0" distL="0" distR="0" wp14:anchorId="44731A3A" wp14:editId="41051FDB">
            <wp:extent cx="5518281" cy="3764478"/>
            <wp:effectExtent l="0" t="0" r="635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2726" cy="378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2D" w:rsidRDefault="00D4342D" w:rsidP="00D4342D">
      <w:r w:rsidRPr="00D4342D">
        <w:rPr>
          <w:b/>
          <w:bCs/>
        </w:rPr>
        <w:t>Figure S7.</w:t>
      </w:r>
      <w:r w:rsidRPr="00D4342D">
        <w:t xml:space="preserve"> </w:t>
      </w:r>
      <w:r w:rsidRPr="00D4342D">
        <w:rPr>
          <w:b/>
          <w:bCs/>
        </w:rPr>
        <w:t xml:space="preserve">MT overexpressing bone marrow-derived mononuclear cells (BM-MNCs) transplantation alleviates oxidative stress in </w:t>
      </w:r>
      <w:proofErr w:type="spellStart"/>
      <w:r w:rsidRPr="00D4342D">
        <w:rPr>
          <w:b/>
          <w:bCs/>
        </w:rPr>
        <w:t>db</w:t>
      </w:r>
      <w:proofErr w:type="spellEnd"/>
      <w:r w:rsidRPr="00D4342D">
        <w:rPr>
          <w:b/>
          <w:bCs/>
        </w:rPr>
        <w:t>/</w:t>
      </w:r>
      <w:proofErr w:type="spellStart"/>
      <w:r w:rsidRPr="00D4342D">
        <w:rPr>
          <w:b/>
          <w:bCs/>
        </w:rPr>
        <w:t>db</w:t>
      </w:r>
      <w:proofErr w:type="spellEnd"/>
      <w:r w:rsidRPr="00D4342D">
        <w:rPr>
          <w:b/>
          <w:bCs/>
        </w:rPr>
        <w:t xml:space="preserve"> diabetic mice with HLI. </w:t>
      </w:r>
      <w:r w:rsidRPr="00D4342D">
        <w:t xml:space="preserve">BM-MNCs transplantation </w:t>
      </w:r>
      <w:proofErr w:type="gramStart"/>
      <w:r w:rsidRPr="00D4342D">
        <w:t>was performed</w:t>
      </w:r>
      <w:proofErr w:type="gramEnd"/>
      <w:r w:rsidRPr="00D4342D">
        <w:t xml:space="preserve"> as described in Figure 3. At day 7 after HLI surgery, the gastrocnemius muscle lysis </w:t>
      </w:r>
      <w:proofErr w:type="gramStart"/>
      <w:r w:rsidRPr="00D4342D">
        <w:t>was used</w:t>
      </w:r>
      <w:proofErr w:type="gramEnd"/>
      <w:r w:rsidRPr="00D4342D">
        <w:t xml:space="preserve"> to evaluate the levels of oxidative damage markers 3-NT (</w:t>
      </w:r>
      <w:r w:rsidRPr="00D4342D">
        <w:rPr>
          <w:b/>
          <w:bCs/>
        </w:rPr>
        <w:t>A</w:t>
      </w:r>
      <w:r w:rsidRPr="00D4342D">
        <w:t>) and 4-HNE (</w:t>
      </w:r>
      <w:r w:rsidRPr="00D4342D">
        <w:rPr>
          <w:b/>
          <w:bCs/>
        </w:rPr>
        <w:t>B</w:t>
      </w:r>
      <w:r w:rsidRPr="00D4342D">
        <w:t xml:space="preserve">) by Western blot. </w:t>
      </w:r>
      <w:proofErr w:type="gramStart"/>
      <w:r w:rsidRPr="00D4342D">
        <w:t>β-actin</w:t>
      </w:r>
      <w:proofErr w:type="gramEnd"/>
      <w:r w:rsidRPr="00D4342D">
        <w:t xml:space="preserve"> was used as loading control. Data shown in graphs represent the </w:t>
      </w:r>
      <w:proofErr w:type="spellStart"/>
      <w:r w:rsidRPr="00D4342D">
        <w:t>mean±SD</w:t>
      </w:r>
      <w:proofErr w:type="spellEnd"/>
      <w:r w:rsidRPr="00D4342D">
        <w:t>. n=</w:t>
      </w:r>
      <w:proofErr w:type="gramStart"/>
      <w:r w:rsidRPr="00D4342D">
        <w:t>5</w:t>
      </w:r>
      <w:proofErr w:type="gramEnd"/>
      <w:r w:rsidRPr="00D4342D">
        <w:t xml:space="preserve"> mice per group. * P&lt;0.05, vs Vehicle; # P&lt;0.05, vs WT. </w:t>
      </w:r>
    </w:p>
    <w:p w:rsidR="00E56B86" w:rsidRDefault="00E56B86" w:rsidP="00D4342D"/>
    <w:p w:rsidR="00E56B86" w:rsidRDefault="00E56B86" w:rsidP="00D4342D"/>
    <w:p w:rsidR="00E56B86" w:rsidRDefault="00E56B86" w:rsidP="00D4342D"/>
    <w:p w:rsidR="00E56B86" w:rsidRDefault="00E56B86" w:rsidP="00D4342D"/>
    <w:p w:rsidR="00E56B86" w:rsidRDefault="00E56B86" w:rsidP="00D4342D"/>
    <w:p w:rsidR="00E56B86" w:rsidRDefault="00E56B86" w:rsidP="00D4342D"/>
    <w:p w:rsidR="00E56B86" w:rsidRDefault="00E56B86" w:rsidP="00D4342D"/>
    <w:p w:rsidR="00E56B86" w:rsidRDefault="00E56B86" w:rsidP="00D4342D"/>
    <w:p w:rsidR="00E56B86" w:rsidRDefault="00E56B86" w:rsidP="00D4342D"/>
    <w:p w:rsidR="00E56B86" w:rsidRDefault="00E56B86" w:rsidP="00D4342D"/>
    <w:p w:rsidR="00E56B86" w:rsidRDefault="00E56B86" w:rsidP="00D4342D"/>
    <w:p w:rsidR="00E56B86" w:rsidRDefault="00E56B86" w:rsidP="00E56B86">
      <w:pPr>
        <w:jc w:val="center"/>
      </w:pPr>
      <w:r>
        <w:rPr>
          <w:noProof/>
        </w:rPr>
        <w:lastRenderedPageBreak/>
        <w:drawing>
          <wp:inline distT="0" distB="0" distL="0" distR="0" wp14:anchorId="6254B472" wp14:editId="669B6AB4">
            <wp:extent cx="4678878" cy="4061526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741" cy="410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B86" w:rsidRDefault="00E56B86" w:rsidP="00E56B86">
      <w:r w:rsidRPr="00E56B86">
        <w:rPr>
          <w:b/>
          <w:bCs/>
        </w:rPr>
        <w:t>Figure S8.</w:t>
      </w:r>
      <w:r w:rsidRPr="00E56B86">
        <w:t xml:space="preserve"> </w:t>
      </w:r>
      <w:r w:rsidRPr="00E56B86">
        <w:rPr>
          <w:b/>
          <w:bCs/>
        </w:rPr>
        <w:t>Endothelial MT overexpression protects EPCs from high glucose (HG) and hypoxia-induced oxidative stress.</w:t>
      </w:r>
      <w:r w:rsidRPr="00E56B86">
        <w:t xml:space="preserve"> BM EPCs from WT and JTMT mice were exposed to HG (25 </w:t>
      </w:r>
      <w:proofErr w:type="spellStart"/>
      <w:r w:rsidRPr="00E56B86">
        <w:t>mmol</w:t>
      </w:r>
      <w:proofErr w:type="spellEnd"/>
      <w:r w:rsidRPr="00E56B86">
        <w:t xml:space="preserve">/L) and hypoxia for 24 h, the equivalent concentration of mannitol was used as osmotic control (Ctrl). The oxidative damage </w:t>
      </w:r>
      <w:proofErr w:type="gramStart"/>
      <w:r w:rsidRPr="00E56B86">
        <w:t>was evaluated</w:t>
      </w:r>
      <w:proofErr w:type="gramEnd"/>
      <w:r w:rsidRPr="00E56B86">
        <w:t xml:space="preserve"> by Western blot assay of 3-NT (</w:t>
      </w:r>
      <w:r w:rsidRPr="00E56B86">
        <w:rPr>
          <w:b/>
          <w:bCs/>
        </w:rPr>
        <w:t>A</w:t>
      </w:r>
      <w:r w:rsidRPr="00E56B86">
        <w:t>) and 4-HNE expression (</w:t>
      </w:r>
      <w:r w:rsidRPr="00E56B86">
        <w:rPr>
          <w:b/>
          <w:bCs/>
        </w:rPr>
        <w:t>B</w:t>
      </w:r>
      <w:r w:rsidRPr="00E56B86">
        <w:t xml:space="preserve">). </w:t>
      </w:r>
      <w:proofErr w:type="gramStart"/>
      <w:r w:rsidRPr="00E56B86">
        <w:t>β-actin</w:t>
      </w:r>
      <w:proofErr w:type="gramEnd"/>
      <w:r w:rsidRPr="00E56B86">
        <w:t xml:space="preserve"> was used as loading control. Three independent experiments </w:t>
      </w:r>
      <w:proofErr w:type="gramStart"/>
      <w:r w:rsidRPr="00E56B86">
        <w:t>were performed</w:t>
      </w:r>
      <w:proofErr w:type="gramEnd"/>
      <w:r w:rsidRPr="00E56B86">
        <w:t xml:space="preserve">. Data shown in graphs represent the </w:t>
      </w:r>
      <w:proofErr w:type="spellStart"/>
      <w:r w:rsidRPr="00E56B86">
        <w:t>mean±SD</w:t>
      </w:r>
      <w:proofErr w:type="spellEnd"/>
      <w:r w:rsidRPr="00E56B86">
        <w:t>. * P&lt;0.05, vs WT-Ctrl</w:t>
      </w:r>
      <w:proofErr w:type="gramStart"/>
      <w:r w:rsidRPr="00E56B86">
        <w:t>;</w:t>
      </w:r>
      <w:proofErr w:type="gramEnd"/>
      <w:r w:rsidRPr="00E56B86">
        <w:t xml:space="preserve"> # P&lt;0.05, vs WT-HG. </w:t>
      </w:r>
    </w:p>
    <w:p w:rsidR="00B17434" w:rsidRDefault="00B17434" w:rsidP="00E56B86"/>
    <w:p w:rsidR="00B17434" w:rsidRDefault="00B17434" w:rsidP="00E56B86"/>
    <w:p w:rsidR="00B17434" w:rsidRDefault="00B17434" w:rsidP="00E56B86"/>
    <w:p w:rsidR="00B17434" w:rsidRDefault="00B17434" w:rsidP="00E56B86"/>
    <w:p w:rsidR="00B17434" w:rsidRDefault="00B17434" w:rsidP="00E56B86"/>
    <w:p w:rsidR="00B17434" w:rsidRDefault="00B17434" w:rsidP="00E56B86"/>
    <w:p w:rsidR="00B17434" w:rsidRDefault="00B17434" w:rsidP="00E56B86"/>
    <w:p w:rsidR="00B17434" w:rsidRDefault="00B17434" w:rsidP="00E56B86"/>
    <w:p w:rsidR="00B17434" w:rsidRDefault="00B17434" w:rsidP="00E56B86"/>
    <w:p w:rsidR="00B17434" w:rsidRDefault="00B17434" w:rsidP="00E56B86"/>
    <w:p w:rsidR="00B17434" w:rsidRDefault="00B17434" w:rsidP="00B17434">
      <w:pPr>
        <w:jc w:val="center"/>
      </w:pPr>
      <w:r>
        <w:rPr>
          <w:noProof/>
        </w:rPr>
        <w:lastRenderedPageBreak/>
        <w:drawing>
          <wp:inline distT="0" distB="0" distL="0" distR="0" wp14:anchorId="00EF9508" wp14:editId="0234F661">
            <wp:extent cx="5927552" cy="3063834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1377" cy="31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34" w:rsidRPr="00B17434" w:rsidRDefault="00B17434" w:rsidP="00B17434">
      <w:r w:rsidRPr="00B17434">
        <w:rPr>
          <w:b/>
          <w:bCs/>
        </w:rPr>
        <w:t>Figure S9. Knockdown of HIF-1α abolishes MT overexpression protecting EPCs from HG and hypoxia-impaired HIF-1</w:t>
      </w:r>
      <w:r w:rsidRPr="00B17434">
        <w:rPr>
          <w:b/>
          <w:bCs/>
          <w:lang w:val="el-GR"/>
        </w:rPr>
        <w:t>α/</w:t>
      </w:r>
      <w:r w:rsidRPr="00B17434">
        <w:rPr>
          <w:b/>
          <w:bCs/>
        </w:rPr>
        <w:t>SDF-1/</w:t>
      </w:r>
      <w:proofErr w:type="spellStart"/>
      <w:r w:rsidRPr="00B17434">
        <w:rPr>
          <w:b/>
          <w:bCs/>
        </w:rPr>
        <w:t>Akt</w:t>
      </w:r>
      <w:proofErr w:type="spellEnd"/>
      <w:r w:rsidRPr="00B17434">
        <w:rPr>
          <w:b/>
          <w:bCs/>
        </w:rPr>
        <w:t xml:space="preserve"> signaling. </w:t>
      </w:r>
      <w:r w:rsidRPr="00B17434">
        <w:t xml:space="preserve">BM EPCs from JTMT mice were transfected a second specific siRNA (Figure S2) against HIF-1α for 48 h, the Silencer Select Negative Control </w:t>
      </w:r>
      <w:proofErr w:type="gramStart"/>
      <w:r w:rsidRPr="00B17434">
        <w:t>was used</w:t>
      </w:r>
      <w:proofErr w:type="gramEnd"/>
      <w:r w:rsidRPr="00B17434">
        <w:t xml:space="preserve"> as control siRNA (Ctrl-siRNA). Then the transfected EPCs were exposed to HG (25 </w:t>
      </w:r>
      <w:proofErr w:type="spellStart"/>
      <w:r w:rsidRPr="00B17434">
        <w:t>mmol</w:t>
      </w:r>
      <w:proofErr w:type="spellEnd"/>
      <w:r w:rsidRPr="00B17434">
        <w:t>/L) and hypoxia for additional 24 h, the equivalent concentration of mannitol was used as osmotic control (Ctrl). The expression of hypoxia-inducible factor 1</w:t>
      </w:r>
      <w:r w:rsidRPr="00B17434">
        <w:rPr>
          <w:lang w:val="el-GR"/>
        </w:rPr>
        <w:t xml:space="preserve">α </w:t>
      </w:r>
      <w:r w:rsidRPr="00B17434">
        <w:t xml:space="preserve">(HIF-1α, </w:t>
      </w:r>
      <w:r w:rsidRPr="00B17434">
        <w:rPr>
          <w:b/>
          <w:bCs/>
        </w:rPr>
        <w:t>A, B</w:t>
      </w:r>
      <w:r w:rsidRPr="00B17434">
        <w:t xml:space="preserve">), stromal cell-derived factor 1 (SDF-1, </w:t>
      </w:r>
      <w:r w:rsidRPr="00B17434">
        <w:rPr>
          <w:b/>
          <w:bCs/>
        </w:rPr>
        <w:t>A, C</w:t>
      </w:r>
      <w:r w:rsidRPr="00B17434">
        <w:t xml:space="preserve">), vascular endothelial growth factor (VEGF, </w:t>
      </w:r>
      <w:r w:rsidRPr="00B17434">
        <w:rPr>
          <w:b/>
          <w:bCs/>
        </w:rPr>
        <w:t>A, D</w:t>
      </w:r>
      <w:r w:rsidRPr="00B17434">
        <w:t>), and phosphorylation of protein kinase B (</w:t>
      </w:r>
      <w:proofErr w:type="spellStart"/>
      <w:r w:rsidRPr="00B17434">
        <w:t>Akt</w:t>
      </w:r>
      <w:proofErr w:type="spellEnd"/>
      <w:r w:rsidRPr="00B17434">
        <w:t xml:space="preserve">, </w:t>
      </w:r>
      <w:r w:rsidRPr="00B17434">
        <w:rPr>
          <w:b/>
          <w:bCs/>
        </w:rPr>
        <w:t>A, E</w:t>
      </w:r>
      <w:r w:rsidRPr="00B17434">
        <w:t xml:space="preserve">) was tested by Western blot. </w:t>
      </w:r>
      <w:proofErr w:type="gramStart"/>
      <w:r w:rsidRPr="00B17434">
        <w:t>β-actin</w:t>
      </w:r>
      <w:proofErr w:type="gramEnd"/>
      <w:r w:rsidRPr="00B17434">
        <w:t xml:space="preserve"> was used as loading control. Three independent experiments </w:t>
      </w:r>
      <w:proofErr w:type="gramStart"/>
      <w:r w:rsidRPr="00B17434">
        <w:t>were performed</w:t>
      </w:r>
      <w:proofErr w:type="gramEnd"/>
      <w:r w:rsidRPr="00B17434">
        <w:t xml:space="preserve">. Data shown in graphs represent the </w:t>
      </w:r>
      <w:proofErr w:type="spellStart"/>
      <w:r w:rsidRPr="00B17434">
        <w:t>mean±SD</w:t>
      </w:r>
      <w:proofErr w:type="spellEnd"/>
      <w:r w:rsidRPr="00B17434">
        <w:t>. * P&lt;0.05, vs Ctrl-siRNA-Ctrl</w:t>
      </w:r>
      <w:proofErr w:type="gramStart"/>
      <w:r w:rsidRPr="00B17434">
        <w:t>;</w:t>
      </w:r>
      <w:proofErr w:type="gramEnd"/>
      <w:r w:rsidRPr="00B17434">
        <w:t xml:space="preserve"> # P&lt;0.05, vs Ctrl-siRNA-HG.</w:t>
      </w:r>
    </w:p>
    <w:p w:rsidR="00E56B86" w:rsidRDefault="00E56B86" w:rsidP="00D4342D"/>
    <w:p w:rsidR="00B17434" w:rsidRDefault="00B17434" w:rsidP="00D4342D"/>
    <w:p w:rsidR="00B17434" w:rsidRDefault="00B17434" w:rsidP="00D4342D"/>
    <w:p w:rsidR="00E56B86" w:rsidRPr="00D4342D" w:rsidRDefault="00B17434" w:rsidP="00B17434">
      <w:pPr>
        <w:jc w:val="center"/>
      </w:pPr>
      <w:r>
        <w:rPr>
          <w:noProof/>
        </w:rPr>
        <w:lastRenderedPageBreak/>
        <w:drawing>
          <wp:inline distT="0" distB="0" distL="0" distR="0" wp14:anchorId="22F3E94E" wp14:editId="6A1E6181">
            <wp:extent cx="4510967" cy="3800104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5846" cy="38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34" w:rsidRPr="00B17434" w:rsidRDefault="00B17434" w:rsidP="00B17434">
      <w:r w:rsidRPr="00B17434">
        <w:rPr>
          <w:b/>
          <w:bCs/>
        </w:rPr>
        <w:t>Figure S10. Knockdown of HIF-1α abolishes MT overexpression protecting EPCs against HG and hypoxia-induced EPC dysfunction.</w:t>
      </w:r>
      <w:r w:rsidRPr="00B17434">
        <w:t xml:space="preserve"> BM-EPCs from JTMT mice were transfected a second specific siRNA (Figure S2) against hypoxia-inducible factor 1</w:t>
      </w:r>
      <w:r w:rsidRPr="00B17434">
        <w:rPr>
          <w:lang w:val="el-GR"/>
        </w:rPr>
        <w:t xml:space="preserve">α </w:t>
      </w:r>
      <w:r w:rsidRPr="00B17434">
        <w:t xml:space="preserve">(HIF-1α) for 48 h, the Silencer Select Negative Control </w:t>
      </w:r>
      <w:proofErr w:type="gramStart"/>
      <w:r w:rsidRPr="00B17434">
        <w:t>was used</w:t>
      </w:r>
      <w:proofErr w:type="gramEnd"/>
      <w:r w:rsidRPr="00B17434">
        <w:t xml:space="preserve"> as control siRNA (Ctrl-siRNA). Then the transfected EPCs were exposed to HG (25 </w:t>
      </w:r>
      <w:proofErr w:type="spellStart"/>
      <w:r w:rsidRPr="00B17434">
        <w:t>mmol</w:t>
      </w:r>
      <w:proofErr w:type="spellEnd"/>
      <w:r w:rsidRPr="00B17434">
        <w:t xml:space="preserve">/L) and hypoxia for additional 24 h, the equivalent concentration of mannitol was used as osmotic control (Ctrl). The </w:t>
      </w:r>
      <w:proofErr w:type="spellStart"/>
      <w:r w:rsidRPr="00B17434">
        <w:t>angiogenic</w:t>
      </w:r>
      <w:proofErr w:type="spellEnd"/>
      <w:r w:rsidRPr="00B17434">
        <w:t xml:space="preserve"> function </w:t>
      </w:r>
      <w:proofErr w:type="gramStart"/>
      <w:r w:rsidRPr="00B17434">
        <w:t>was evaluated</w:t>
      </w:r>
      <w:proofErr w:type="gramEnd"/>
      <w:r w:rsidRPr="00B17434">
        <w:t xml:space="preserve"> by tube formation assay (</w:t>
      </w:r>
      <w:r w:rsidRPr="00B17434">
        <w:rPr>
          <w:b/>
          <w:bCs/>
        </w:rPr>
        <w:t>A, B</w:t>
      </w:r>
      <w:r w:rsidRPr="00B17434">
        <w:t xml:space="preserve">). The migration capability </w:t>
      </w:r>
      <w:proofErr w:type="gramStart"/>
      <w:r w:rsidRPr="00B17434">
        <w:t>was evaluated</w:t>
      </w:r>
      <w:proofErr w:type="gramEnd"/>
      <w:r w:rsidRPr="00B17434">
        <w:t xml:space="preserve"> by </w:t>
      </w:r>
      <w:proofErr w:type="spellStart"/>
      <w:r w:rsidRPr="00B17434">
        <w:t>transendothelial</w:t>
      </w:r>
      <w:proofErr w:type="spellEnd"/>
      <w:r w:rsidRPr="00B17434">
        <w:t xml:space="preserve"> migration assay (</w:t>
      </w:r>
      <w:r w:rsidRPr="00B17434">
        <w:rPr>
          <w:b/>
          <w:bCs/>
        </w:rPr>
        <w:t>C</w:t>
      </w:r>
      <w:r w:rsidRPr="00B17434">
        <w:t xml:space="preserve">, </w:t>
      </w:r>
      <w:r w:rsidRPr="00B17434">
        <w:rPr>
          <w:b/>
          <w:bCs/>
        </w:rPr>
        <w:t>D</w:t>
      </w:r>
      <w:r w:rsidRPr="00B17434">
        <w:t xml:space="preserve">). At least three independent experiments </w:t>
      </w:r>
      <w:proofErr w:type="gramStart"/>
      <w:r w:rsidRPr="00B17434">
        <w:t>were performed</w:t>
      </w:r>
      <w:proofErr w:type="gramEnd"/>
      <w:r w:rsidRPr="00B17434">
        <w:t xml:space="preserve">. Data shown in graphs represent the </w:t>
      </w:r>
      <w:proofErr w:type="spellStart"/>
      <w:r w:rsidRPr="00B17434">
        <w:t>mean±SD</w:t>
      </w:r>
      <w:proofErr w:type="spellEnd"/>
      <w:r w:rsidRPr="00B17434">
        <w:t>. * P&lt;0.05, vs Ctrl-siRNA-Ctrl</w:t>
      </w:r>
      <w:proofErr w:type="gramStart"/>
      <w:r w:rsidRPr="00B17434">
        <w:t>;</w:t>
      </w:r>
      <w:proofErr w:type="gramEnd"/>
      <w:r w:rsidRPr="00B17434">
        <w:t xml:space="preserve"> # P&lt;0.05, vs Ctrl-siRNA-HG.</w:t>
      </w:r>
    </w:p>
    <w:p w:rsidR="00D4342D" w:rsidRDefault="00D4342D" w:rsidP="00007C9B">
      <w:pPr>
        <w:jc w:val="center"/>
      </w:pPr>
    </w:p>
    <w:p w:rsidR="00D4342D" w:rsidRDefault="00D4342D" w:rsidP="00007C9B">
      <w:pPr>
        <w:jc w:val="center"/>
      </w:pPr>
    </w:p>
    <w:p w:rsidR="00D4342D" w:rsidRDefault="00D4342D" w:rsidP="00007C9B">
      <w:pPr>
        <w:jc w:val="center"/>
      </w:pPr>
    </w:p>
    <w:p w:rsidR="00D4342D" w:rsidRDefault="00D4342D" w:rsidP="00007C9B">
      <w:pPr>
        <w:jc w:val="center"/>
      </w:pPr>
    </w:p>
    <w:p w:rsidR="001504FF" w:rsidRDefault="001504FF" w:rsidP="00007C9B">
      <w:pPr>
        <w:jc w:val="center"/>
      </w:pPr>
    </w:p>
    <w:p w:rsidR="001504FF" w:rsidRDefault="001504FF" w:rsidP="00007C9B">
      <w:pPr>
        <w:jc w:val="center"/>
      </w:pPr>
    </w:p>
    <w:p w:rsidR="001504FF" w:rsidRDefault="001504FF" w:rsidP="00007C9B">
      <w:pPr>
        <w:jc w:val="center"/>
      </w:pPr>
    </w:p>
    <w:p w:rsidR="001504FF" w:rsidRDefault="001504FF" w:rsidP="00007C9B">
      <w:pPr>
        <w:jc w:val="center"/>
      </w:pPr>
    </w:p>
    <w:p w:rsidR="001504FF" w:rsidRDefault="001504FF" w:rsidP="00007C9B">
      <w:pPr>
        <w:jc w:val="center"/>
      </w:pPr>
    </w:p>
    <w:p w:rsidR="001504FF" w:rsidRDefault="001504FF" w:rsidP="00007C9B">
      <w:pPr>
        <w:jc w:val="center"/>
      </w:pPr>
      <w:r>
        <w:rPr>
          <w:noProof/>
        </w:rPr>
        <w:lastRenderedPageBreak/>
        <w:drawing>
          <wp:inline distT="0" distB="0" distL="0" distR="0" wp14:anchorId="0FF2C69E" wp14:editId="2112DF88">
            <wp:extent cx="5330978" cy="5795158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123" cy="581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FF" w:rsidRPr="001504FF" w:rsidRDefault="001504FF" w:rsidP="001504FF">
      <w:r w:rsidRPr="001504FF">
        <w:rPr>
          <w:b/>
          <w:bCs/>
        </w:rPr>
        <w:t>Figure S11. Knockdown of HIF-1α does not affect MT overexpressing EPCs resistance to HG and hypoxia-induced oxidative stress.</w:t>
      </w:r>
      <w:r w:rsidRPr="001504FF">
        <w:t xml:space="preserve"> BM-EPCs from JTMT mice were transfected a second specific siRNA (Figure S2) against HIF-1α for 48 h, the Silencer Select Negative Control </w:t>
      </w:r>
      <w:proofErr w:type="gramStart"/>
      <w:r w:rsidRPr="001504FF">
        <w:t>was used</w:t>
      </w:r>
      <w:proofErr w:type="gramEnd"/>
      <w:r w:rsidRPr="001504FF">
        <w:t xml:space="preserve"> as control siRNA (Ctrl-siRNA). Then the transfected EPCs were exposed to HG (25 </w:t>
      </w:r>
      <w:proofErr w:type="spellStart"/>
      <w:r w:rsidRPr="001504FF">
        <w:t>mmol</w:t>
      </w:r>
      <w:proofErr w:type="spellEnd"/>
      <w:r w:rsidRPr="001504FF">
        <w:t xml:space="preserve">/L) and hypoxia for additional 24 h, the equivalent concentration of mannitol was used as osmotic control (Ctrl). The oxidative damage </w:t>
      </w:r>
      <w:proofErr w:type="gramStart"/>
      <w:r w:rsidRPr="001504FF">
        <w:t>was evaluated</w:t>
      </w:r>
      <w:proofErr w:type="gramEnd"/>
      <w:r w:rsidRPr="001504FF">
        <w:t xml:space="preserve"> by </w:t>
      </w:r>
      <w:proofErr w:type="spellStart"/>
      <w:r w:rsidRPr="001504FF">
        <w:t>dihydroethidium</w:t>
      </w:r>
      <w:proofErr w:type="spellEnd"/>
      <w:r w:rsidRPr="001504FF">
        <w:t xml:space="preserve"> (DHE) stain of superoxide production (</w:t>
      </w:r>
      <w:r w:rsidRPr="001504FF">
        <w:rPr>
          <w:b/>
          <w:bCs/>
        </w:rPr>
        <w:t>A</w:t>
      </w:r>
      <w:r w:rsidRPr="001504FF">
        <w:t xml:space="preserve">, </w:t>
      </w:r>
      <w:r w:rsidRPr="001504FF">
        <w:rPr>
          <w:b/>
          <w:bCs/>
        </w:rPr>
        <w:t>B</w:t>
      </w:r>
      <w:r w:rsidRPr="001504FF">
        <w:t>) and Western blot assay of 3-NT (</w:t>
      </w:r>
      <w:r w:rsidRPr="001504FF">
        <w:rPr>
          <w:b/>
          <w:bCs/>
        </w:rPr>
        <w:t>C</w:t>
      </w:r>
      <w:r w:rsidRPr="001504FF">
        <w:t>) and 4-HNE (</w:t>
      </w:r>
      <w:r w:rsidRPr="001504FF">
        <w:rPr>
          <w:b/>
          <w:bCs/>
        </w:rPr>
        <w:t>D</w:t>
      </w:r>
      <w:r w:rsidRPr="001504FF">
        <w:t xml:space="preserve">) expression. Four independent experiments </w:t>
      </w:r>
      <w:proofErr w:type="gramStart"/>
      <w:r w:rsidRPr="001504FF">
        <w:t>were performed</w:t>
      </w:r>
      <w:proofErr w:type="gramEnd"/>
      <w:r w:rsidRPr="001504FF">
        <w:t xml:space="preserve">. Data shown in graphs represent the </w:t>
      </w:r>
      <w:proofErr w:type="spellStart"/>
      <w:r w:rsidRPr="001504FF">
        <w:t>mean±SD</w:t>
      </w:r>
      <w:proofErr w:type="spellEnd"/>
      <w:r w:rsidRPr="001504FF">
        <w:t xml:space="preserve">. </w:t>
      </w:r>
    </w:p>
    <w:p w:rsidR="001504FF" w:rsidRDefault="001504FF" w:rsidP="00007C9B">
      <w:pPr>
        <w:jc w:val="center"/>
      </w:pPr>
    </w:p>
    <w:p w:rsidR="002E6C2F" w:rsidRDefault="002E6C2F" w:rsidP="00007C9B">
      <w:pPr>
        <w:jc w:val="center"/>
      </w:pPr>
    </w:p>
    <w:p w:rsidR="002E6C2F" w:rsidRDefault="002E6C2F" w:rsidP="00007C9B">
      <w:pPr>
        <w:jc w:val="center"/>
      </w:pPr>
    </w:p>
    <w:p w:rsidR="002E6C2F" w:rsidRPr="007A13DE" w:rsidRDefault="002E6C2F" w:rsidP="002E6C2F">
      <w:pPr>
        <w:jc w:val="center"/>
        <w:rPr>
          <w:sz w:val="32"/>
          <w:szCs w:val="32"/>
        </w:rPr>
      </w:pPr>
      <w:r w:rsidRPr="007A13DE">
        <w:rPr>
          <w:b/>
          <w:bCs/>
          <w:sz w:val="32"/>
          <w:szCs w:val="32"/>
        </w:rPr>
        <w:lastRenderedPageBreak/>
        <w:t>Table S1. Human subject information</w:t>
      </w:r>
      <w:r w:rsidRPr="007A13DE">
        <w:rPr>
          <w:sz w:val="32"/>
          <w:szCs w:val="32"/>
        </w:rPr>
        <w:t xml:space="preserve"> </w:t>
      </w:r>
    </w:p>
    <w:tbl>
      <w:tblPr>
        <w:tblW w:w="9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2220"/>
        <w:gridCol w:w="2160"/>
        <w:gridCol w:w="1260"/>
      </w:tblGrid>
      <w:tr w:rsidR="002E6C2F" w:rsidRPr="002E6C2F" w:rsidTr="002E6C2F">
        <w:trPr>
          <w:trHeight w:val="695"/>
        </w:trPr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Description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Health Subjects</w:t>
            </w:r>
          </w:p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(n=6, mean ± SD)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Type 2 Diabetes</w:t>
            </w:r>
          </w:p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(n=6, mean ± SD)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P value</w:t>
            </w:r>
          </w:p>
        </w:tc>
      </w:tr>
      <w:tr w:rsidR="002E6C2F" w:rsidRPr="002E6C2F" w:rsidTr="002E6C2F">
        <w:tc>
          <w:tcPr>
            <w:tcW w:w="3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Age (years)</w:t>
            </w:r>
          </w:p>
        </w:tc>
        <w:tc>
          <w:tcPr>
            <w:tcW w:w="2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52.75 ± 3.467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51.33 ± 3.473</w:t>
            </w:r>
          </w:p>
        </w:tc>
        <w:tc>
          <w:tcPr>
            <w:tcW w:w="1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P=0.3281</w:t>
            </w:r>
          </w:p>
        </w:tc>
      </w:tr>
      <w:tr w:rsidR="002E6C2F" w:rsidRPr="002E6C2F" w:rsidTr="002E6C2F">
        <w:trPr>
          <w:trHeight w:val="259"/>
        </w:trPr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Sex, male/female (%)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3/3 (50%)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3/3 (50%)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 </w:t>
            </w:r>
          </w:p>
        </w:tc>
      </w:tr>
      <w:tr w:rsidR="002E6C2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Height (cm)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158.67 ± 3.601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159.08 ± 7.477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P=0.8635</w:t>
            </w:r>
          </w:p>
        </w:tc>
      </w:tr>
      <w:tr w:rsidR="002E6C2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Weight (kg)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56.375 ± 5.398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67.917 ± 4.757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2E6C2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BMI (kg/m2)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22.17 ± 1.814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27.03 ± 1.602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2E6C2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Systolic blood pressure (mmHg)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108.17 ± 9.666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133.92 ± 9.070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2E6C2F" w:rsidRPr="002E6C2F" w:rsidTr="002E6C2F">
        <w:trPr>
          <w:trHeight w:val="395"/>
        </w:trPr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Diastolic blood pressure (mmHg)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68.33 ± 7.608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93.75 ± 9.006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2E6C2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HbA1C (%)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4.18 ± 0.652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10.41 ±1.500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6C2F" w:rsidRPr="002E6C2F" w:rsidRDefault="002E6C2F" w:rsidP="007A13DE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42644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HbA1C (</w:t>
            </w:r>
            <w:proofErr w:type="spellStart"/>
            <w:r>
              <w:rPr>
                <w:b/>
                <w:bCs/>
              </w:rPr>
              <w:t>mmol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mol</w:t>
            </w:r>
            <w:proofErr w:type="spellEnd"/>
            <w:r w:rsidRPr="002E6C2F">
              <w:rPr>
                <w:b/>
                <w:bCs/>
              </w:rPr>
              <w:t>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2644F" w:rsidRPr="002E6C2F" w:rsidRDefault="00892934" w:rsidP="00892934">
            <w:pPr>
              <w:spacing w:after="0" w:line="360" w:lineRule="auto"/>
              <w:jc w:val="center"/>
            </w:pPr>
            <w:r>
              <w:t>22</w:t>
            </w:r>
            <w:r w:rsidR="0042644F" w:rsidRPr="002E6C2F">
              <w:t xml:space="preserve"> ± </w:t>
            </w:r>
            <w:r>
              <w:t>7.1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2644F" w:rsidRPr="002E6C2F" w:rsidRDefault="00892934" w:rsidP="00892934">
            <w:pPr>
              <w:spacing w:after="0" w:line="360" w:lineRule="auto"/>
              <w:jc w:val="center"/>
            </w:pPr>
            <w:r>
              <w:t>90</w:t>
            </w:r>
            <w:r w:rsidR="0042644F" w:rsidRPr="002E6C2F">
              <w:t xml:space="preserve"> ±</w:t>
            </w:r>
            <w:r>
              <w:t>16.4</w:t>
            </w:r>
            <w:bookmarkStart w:id="0" w:name="_GoBack"/>
            <w:bookmarkEnd w:id="0"/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42644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Fasting blood glucose (</w:t>
            </w:r>
            <w:proofErr w:type="spellStart"/>
            <w:r w:rsidRPr="002E6C2F">
              <w:rPr>
                <w:b/>
                <w:bCs/>
              </w:rPr>
              <w:t>mmol</w:t>
            </w:r>
            <w:proofErr w:type="spellEnd"/>
            <w:r w:rsidRPr="002E6C2F">
              <w:rPr>
                <w:b/>
                <w:bCs/>
              </w:rPr>
              <w:t>/L)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5.43 ± 0.624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15.86 ± 4.228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42644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Triglyceride (</w:t>
            </w:r>
            <w:proofErr w:type="spellStart"/>
            <w:r w:rsidRPr="002E6C2F">
              <w:rPr>
                <w:b/>
                <w:bCs/>
              </w:rPr>
              <w:t>mmol</w:t>
            </w:r>
            <w:proofErr w:type="spellEnd"/>
            <w:r w:rsidRPr="002E6C2F">
              <w:rPr>
                <w:b/>
                <w:bCs/>
              </w:rPr>
              <w:t>/L)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0.93 ± 0.255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3.12 ± 0.868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42644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Total Cholesterol (</w:t>
            </w:r>
            <w:proofErr w:type="spellStart"/>
            <w:r w:rsidRPr="002E6C2F">
              <w:rPr>
                <w:b/>
                <w:bCs/>
              </w:rPr>
              <w:t>mmol</w:t>
            </w:r>
            <w:proofErr w:type="spellEnd"/>
            <w:r w:rsidRPr="002E6C2F">
              <w:rPr>
                <w:b/>
                <w:bCs/>
              </w:rPr>
              <w:t>/L)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3.90 ± 0.604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5.63 ± 1.040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42644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LDL-Cholesterol (</w:t>
            </w:r>
            <w:proofErr w:type="spellStart"/>
            <w:r w:rsidRPr="002E6C2F">
              <w:rPr>
                <w:b/>
                <w:bCs/>
              </w:rPr>
              <w:t>mmol</w:t>
            </w:r>
            <w:proofErr w:type="spellEnd"/>
            <w:r w:rsidRPr="002E6C2F">
              <w:rPr>
                <w:b/>
                <w:bCs/>
              </w:rPr>
              <w:t>/L)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2.16 ± 0.497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3.70 ± 0.824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  <w:tr w:rsidR="0042644F" w:rsidRPr="002E6C2F" w:rsidTr="002E6C2F"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rPr>
                <w:b/>
                <w:bCs/>
              </w:rPr>
              <w:t>HDL-Cholesterol (</w:t>
            </w:r>
            <w:proofErr w:type="spellStart"/>
            <w:r w:rsidRPr="002E6C2F">
              <w:rPr>
                <w:b/>
                <w:bCs/>
              </w:rPr>
              <w:t>mmol</w:t>
            </w:r>
            <w:proofErr w:type="spellEnd"/>
            <w:r w:rsidRPr="002E6C2F">
              <w:rPr>
                <w:b/>
                <w:bCs/>
              </w:rPr>
              <w:t>/L)</w:t>
            </w:r>
          </w:p>
        </w:tc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1.35 ± 0.243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0.84 ± 0.193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644F" w:rsidRPr="002E6C2F" w:rsidRDefault="0042644F" w:rsidP="0042644F">
            <w:pPr>
              <w:spacing w:after="0" w:line="360" w:lineRule="auto"/>
              <w:jc w:val="center"/>
            </w:pPr>
            <w:r w:rsidRPr="002E6C2F">
              <w:t>P&lt;0.0001</w:t>
            </w:r>
          </w:p>
        </w:tc>
      </w:tr>
    </w:tbl>
    <w:p w:rsidR="002E6C2F" w:rsidRPr="002E6C2F" w:rsidRDefault="002E6C2F" w:rsidP="002E6C2F">
      <w:r w:rsidRPr="002E6C2F">
        <w:t xml:space="preserve">BMI, body mass index; HbA1c, hemoglobin A1C; LDL, low-density lipoprotein; HDL, high-density lipoprotein. </w:t>
      </w:r>
    </w:p>
    <w:p w:rsidR="001504FF" w:rsidRDefault="007A13DE" w:rsidP="00007C9B">
      <w:pPr>
        <w:jc w:val="center"/>
      </w:pPr>
      <w:r>
        <w:t>`</w:t>
      </w:r>
    </w:p>
    <w:sectPr w:rsidR="001504FF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88B" w:rsidRDefault="00C9088B" w:rsidP="007A13DE">
      <w:pPr>
        <w:spacing w:after="0" w:line="240" w:lineRule="auto"/>
      </w:pPr>
      <w:r>
        <w:separator/>
      </w:r>
    </w:p>
  </w:endnote>
  <w:endnote w:type="continuationSeparator" w:id="0">
    <w:p w:rsidR="00C9088B" w:rsidRDefault="00C9088B" w:rsidP="007A1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4479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13DE" w:rsidRDefault="007A13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293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A13DE" w:rsidRDefault="007A13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88B" w:rsidRDefault="00C9088B" w:rsidP="007A13DE">
      <w:pPr>
        <w:spacing w:after="0" w:line="240" w:lineRule="auto"/>
      </w:pPr>
      <w:r>
        <w:separator/>
      </w:r>
    </w:p>
  </w:footnote>
  <w:footnote w:type="continuationSeparator" w:id="0">
    <w:p w:rsidR="00C9088B" w:rsidRDefault="00C9088B" w:rsidP="007A1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B15"/>
    <w:rsid w:val="00007C9B"/>
    <w:rsid w:val="001504FF"/>
    <w:rsid w:val="001B5794"/>
    <w:rsid w:val="002E6C2F"/>
    <w:rsid w:val="0042644F"/>
    <w:rsid w:val="00656307"/>
    <w:rsid w:val="007A13DE"/>
    <w:rsid w:val="007F7309"/>
    <w:rsid w:val="00892934"/>
    <w:rsid w:val="00893B15"/>
    <w:rsid w:val="00AB4720"/>
    <w:rsid w:val="00AE7526"/>
    <w:rsid w:val="00B17434"/>
    <w:rsid w:val="00B31F1D"/>
    <w:rsid w:val="00C9088B"/>
    <w:rsid w:val="00CE6AB5"/>
    <w:rsid w:val="00D4342D"/>
    <w:rsid w:val="00E5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B83CD"/>
  <w15:chartTrackingRefBased/>
  <w15:docId w15:val="{3212A3CC-A6AB-4E19-A568-310C804CA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3DE"/>
  </w:style>
  <w:style w:type="paragraph" w:styleId="Footer">
    <w:name w:val="footer"/>
    <w:basedOn w:val="Normal"/>
    <w:link w:val="FooterChar"/>
    <w:uiPriority w:val="99"/>
    <w:unhideWhenUsed/>
    <w:rsid w:val="007A1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11</Pages>
  <Words>1242</Words>
  <Characters>7083</Characters>
  <Application>Microsoft Office Word</Application>
  <DocSecurity>0</DocSecurity>
  <Lines>59</Lines>
  <Paragraphs>16</Paragraphs>
  <ScaleCrop>false</ScaleCrop>
  <Company/>
  <LinksUpToDate>false</LinksUpToDate>
  <CharactersWithSpaces>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Tan,Yi</dc:creator>
  <cp:keywords/>
  <dc:description/>
  <cp:lastModifiedBy>Tan,Yi</cp:lastModifiedBy>
  <cp:revision>16</cp:revision>
  <dcterms:created xsi:type="dcterms:W3CDTF">2020-04-29T15:03:00Z</dcterms:created>
  <dcterms:modified xsi:type="dcterms:W3CDTF">2020-05-04T14:07:00Z</dcterms:modified>
</cp:coreProperties>
</file>