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5647" w14:textId="55E54D30" w:rsidR="00082461" w:rsidRPr="00875AC3" w:rsidRDefault="007A2B89">
      <w:pPr>
        <w:spacing w:line="480" w:lineRule="auto"/>
        <w:jc w:val="both"/>
        <w:rPr>
          <w:rFonts w:ascii="Times New Roman" w:hAnsi="Times New Roman" w:cs="Times New Roman"/>
          <w:b/>
          <w:color w:val="000000" w:themeColor="text1"/>
        </w:rPr>
      </w:pPr>
      <w:r w:rsidRPr="00875AC3">
        <w:rPr>
          <w:rFonts w:ascii="Times New Roman" w:hAnsi="Times New Roman" w:cs="Times New Roman"/>
          <w:b/>
          <w:color w:val="000000" w:themeColor="text1"/>
        </w:rPr>
        <w:t>SUPPLEMENTA</w:t>
      </w:r>
      <w:r w:rsidR="00C8119D">
        <w:rPr>
          <w:rFonts w:ascii="Times New Roman" w:hAnsi="Times New Roman" w:cs="Times New Roman"/>
          <w:b/>
          <w:color w:val="000000" w:themeColor="text1"/>
        </w:rPr>
        <w:t>RY</w:t>
      </w:r>
      <w:r w:rsidRPr="00875AC3">
        <w:rPr>
          <w:rFonts w:ascii="Times New Roman" w:hAnsi="Times New Roman" w:cs="Times New Roman"/>
          <w:b/>
          <w:color w:val="000000" w:themeColor="text1"/>
        </w:rPr>
        <w:t xml:space="preserve"> </w:t>
      </w:r>
      <w:r w:rsidR="00322806">
        <w:rPr>
          <w:rFonts w:ascii="Times New Roman" w:hAnsi="Times New Roman" w:cs="Times New Roman"/>
          <w:b/>
          <w:color w:val="000000" w:themeColor="text1"/>
        </w:rPr>
        <w:t>MATERIAL</w:t>
      </w:r>
      <w:r w:rsidR="00404EA8" w:rsidRPr="00875AC3">
        <w:rPr>
          <w:rFonts w:ascii="Times New Roman" w:hAnsi="Times New Roman" w:cs="Times New Roman"/>
          <w:b/>
          <w:color w:val="000000" w:themeColor="text1"/>
        </w:rPr>
        <w:t>:</w:t>
      </w:r>
      <w:r w:rsidR="002703B7" w:rsidRPr="00875AC3">
        <w:rPr>
          <w:rFonts w:ascii="Times New Roman" w:hAnsi="Times New Roman" w:cs="Times New Roman"/>
          <w:b/>
          <w:color w:val="000000" w:themeColor="text1"/>
        </w:rPr>
        <w:t xml:space="preserve"> </w:t>
      </w:r>
    </w:p>
    <w:p w14:paraId="610CDB50" w14:textId="33FB0E6A" w:rsidR="00082461" w:rsidRPr="00875AC3" w:rsidRDefault="007A2B89">
      <w:pPr>
        <w:spacing w:line="480" w:lineRule="auto"/>
        <w:jc w:val="both"/>
        <w:rPr>
          <w:rFonts w:ascii="Times New Roman" w:hAnsi="Times New Roman" w:cs="Times New Roman"/>
          <w:b/>
          <w:color w:val="000000" w:themeColor="text1"/>
        </w:rPr>
      </w:pPr>
      <w:r w:rsidRPr="00875AC3">
        <w:rPr>
          <w:rFonts w:ascii="Times New Roman" w:hAnsi="Times New Roman" w:cs="Times New Roman"/>
          <w:b/>
          <w:color w:val="000000" w:themeColor="text1"/>
        </w:rPr>
        <w:t>Human subject recruitment:</w:t>
      </w:r>
      <w:r w:rsidR="00BD4CF5" w:rsidRPr="00875AC3">
        <w:rPr>
          <w:rFonts w:ascii="Times New Roman" w:hAnsi="Times New Roman" w:cs="Times New Roman"/>
          <w:b/>
          <w:color w:val="000000" w:themeColor="text1"/>
        </w:rPr>
        <w:t xml:space="preserve"> </w:t>
      </w:r>
      <w:r w:rsidR="00755E50" w:rsidRPr="00875AC3">
        <w:rPr>
          <w:rFonts w:ascii="Times New Roman" w:hAnsi="Times New Roman" w:cs="Times New Roman"/>
          <w:color w:val="000000" w:themeColor="text1"/>
        </w:rPr>
        <w:t>All procedures were approved by</w:t>
      </w:r>
      <w:r w:rsidR="0035185F" w:rsidRPr="00875AC3">
        <w:rPr>
          <w:rFonts w:ascii="Times New Roman" w:hAnsi="Times New Roman" w:cs="Times New Roman"/>
          <w:color w:val="000000" w:themeColor="text1"/>
        </w:rPr>
        <w:t xml:space="preserve"> Einstein’s Institutional Review Board</w:t>
      </w:r>
      <w:r w:rsidR="00230B8F" w:rsidRPr="00875AC3">
        <w:rPr>
          <w:rFonts w:ascii="Times New Roman" w:hAnsi="Times New Roman" w:cs="Times New Roman"/>
          <w:color w:val="000000" w:themeColor="text1"/>
        </w:rPr>
        <w:t>.</w:t>
      </w:r>
      <w:r w:rsidR="0035185F" w:rsidRPr="00875AC3">
        <w:rPr>
          <w:rFonts w:ascii="Times New Roman" w:hAnsi="Times New Roman" w:cs="Times New Roman"/>
          <w:color w:val="000000" w:themeColor="text1"/>
        </w:rPr>
        <w:t xml:space="preserve"> </w:t>
      </w:r>
      <w:r w:rsidR="00230B8F" w:rsidRPr="00875AC3">
        <w:rPr>
          <w:rFonts w:ascii="Times New Roman" w:hAnsi="Times New Roman" w:cs="Times New Roman"/>
          <w:color w:val="000000" w:themeColor="text1"/>
        </w:rPr>
        <w:t>T</w:t>
      </w:r>
      <w:r w:rsidR="004155B0" w:rsidRPr="00875AC3">
        <w:rPr>
          <w:rFonts w:ascii="Times New Roman" w:hAnsi="Times New Roman" w:cs="Times New Roman"/>
          <w:color w:val="000000" w:themeColor="text1"/>
        </w:rPr>
        <w:t>he purpose, nature, risks</w:t>
      </w:r>
      <w:r w:rsidR="00C3099E" w:rsidRPr="00875AC3">
        <w:rPr>
          <w:rFonts w:ascii="Times New Roman" w:hAnsi="Times New Roman" w:cs="Times New Roman"/>
          <w:color w:val="000000" w:themeColor="text1"/>
        </w:rPr>
        <w:t>,</w:t>
      </w:r>
      <w:r w:rsidR="004155B0" w:rsidRPr="00875AC3">
        <w:rPr>
          <w:rFonts w:ascii="Times New Roman" w:hAnsi="Times New Roman" w:cs="Times New Roman"/>
          <w:color w:val="000000" w:themeColor="text1"/>
        </w:rPr>
        <w:t xml:space="preserve"> benefits</w:t>
      </w:r>
      <w:r w:rsidR="00C3099E" w:rsidRPr="00875AC3">
        <w:rPr>
          <w:rFonts w:ascii="Times New Roman" w:hAnsi="Times New Roman" w:cs="Times New Roman"/>
          <w:color w:val="000000" w:themeColor="text1"/>
        </w:rPr>
        <w:t xml:space="preserve"> and procedures</w:t>
      </w:r>
      <w:r w:rsidR="004155B0" w:rsidRPr="00875AC3">
        <w:rPr>
          <w:rFonts w:ascii="Times New Roman" w:hAnsi="Times New Roman" w:cs="Times New Roman"/>
          <w:color w:val="000000" w:themeColor="text1"/>
        </w:rPr>
        <w:t xml:space="preserve"> of the study were expl</w:t>
      </w:r>
      <w:r w:rsidR="0035185F" w:rsidRPr="00875AC3">
        <w:rPr>
          <w:rFonts w:ascii="Times New Roman" w:hAnsi="Times New Roman" w:cs="Times New Roman"/>
          <w:color w:val="000000" w:themeColor="text1"/>
        </w:rPr>
        <w:t>ained to all potential subjects</w:t>
      </w:r>
      <w:r w:rsidR="004155B0" w:rsidRPr="00875AC3">
        <w:rPr>
          <w:rFonts w:ascii="Times New Roman" w:hAnsi="Times New Roman" w:cs="Times New Roman"/>
          <w:color w:val="000000" w:themeColor="text1"/>
        </w:rPr>
        <w:t xml:space="preserve"> and their voluntary, informed, written consent was obtained. </w:t>
      </w:r>
      <w:r w:rsidR="00EF743A" w:rsidRPr="00875AC3">
        <w:rPr>
          <w:rFonts w:ascii="Times New Roman" w:hAnsi="Times New Roman" w:cs="Times New Roman"/>
          <w:color w:val="000000" w:themeColor="text1"/>
        </w:rPr>
        <w:t xml:space="preserve">All subjects completed a clinical </w:t>
      </w:r>
      <w:r w:rsidR="000E174B" w:rsidRPr="00875AC3">
        <w:rPr>
          <w:rFonts w:ascii="Times New Roman" w:hAnsi="Times New Roman" w:cs="Times New Roman"/>
          <w:color w:val="000000" w:themeColor="text1"/>
        </w:rPr>
        <w:t xml:space="preserve">screening </w:t>
      </w:r>
      <w:r w:rsidR="00EF743A" w:rsidRPr="00875AC3">
        <w:rPr>
          <w:rFonts w:ascii="Times New Roman" w:hAnsi="Times New Roman" w:cs="Times New Roman"/>
          <w:color w:val="000000" w:themeColor="text1"/>
        </w:rPr>
        <w:t>evaluation</w:t>
      </w:r>
      <w:r w:rsidR="004155B0" w:rsidRPr="00875AC3">
        <w:rPr>
          <w:rFonts w:ascii="Times New Roman" w:hAnsi="Times New Roman" w:cs="Times New Roman"/>
          <w:color w:val="000000" w:themeColor="text1"/>
        </w:rPr>
        <w:t xml:space="preserve"> consisting of </w:t>
      </w:r>
      <w:r w:rsidR="000E174B" w:rsidRPr="00875AC3">
        <w:rPr>
          <w:rFonts w:ascii="Times New Roman" w:hAnsi="Times New Roman" w:cs="Times New Roman"/>
          <w:color w:val="000000" w:themeColor="text1"/>
        </w:rPr>
        <w:t xml:space="preserve">medical </w:t>
      </w:r>
      <w:r w:rsidR="004155B0" w:rsidRPr="00875AC3">
        <w:rPr>
          <w:rFonts w:ascii="Times New Roman" w:hAnsi="Times New Roman" w:cs="Times New Roman"/>
          <w:color w:val="000000" w:themeColor="text1"/>
        </w:rPr>
        <w:t>history,</w:t>
      </w:r>
      <w:r w:rsidR="00EF743A" w:rsidRPr="00875AC3">
        <w:rPr>
          <w:rFonts w:ascii="Times New Roman" w:hAnsi="Times New Roman" w:cs="Times New Roman"/>
          <w:color w:val="000000" w:themeColor="text1"/>
        </w:rPr>
        <w:t xml:space="preserve"> </w:t>
      </w:r>
      <w:r w:rsidR="004155B0" w:rsidRPr="00875AC3">
        <w:rPr>
          <w:rFonts w:ascii="Times New Roman" w:hAnsi="Times New Roman" w:cs="Times New Roman"/>
          <w:color w:val="000000" w:themeColor="text1"/>
        </w:rPr>
        <w:t xml:space="preserve">physical examination, </w:t>
      </w:r>
      <w:r w:rsidR="000E174B" w:rsidRPr="00875AC3">
        <w:rPr>
          <w:rFonts w:ascii="Times New Roman" w:hAnsi="Times New Roman" w:cs="Times New Roman"/>
          <w:color w:val="000000" w:themeColor="text1"/>
        </w:rPr>
        <w:t xml:space="preserve">and laboratory evaluation including </w:t>
      </w:r>
      <w:r w:rsidR="004155B0" w:rsidRPr="00875AC3">
        <w:rPr>
          <w:rFonts w:ascii="Times New Roman" w:hAnsi="Times New Roman" w:cs="Times New Roman"/>
          <w:color w:val="000000" w:themeColor="text1"/>
        </w:rPr>
        <w:t xml:space="preserve">hematologic, lipid, </w:t>
      </w:r>
      <w:r w:rsidR="000E174B" w:rsidRPr="00875AC3">
        <w:rPr>
          <w:rFonts w:ascii="Times New Roman" w:hAnsi="Times New Roman" w:cs="Times New Roman"/>
          <w:color w:val="000000" w:themeColor="text1"/>
        </w:rPr>
        <w:t xml:space="preserve">and </w:t>
      </w:r>
      <w:r w:rsidR="004155B0" w:rsidRPr="00875AC3">
        <w:rPr>
          <w:rFonts w:ascii="Times New Roman" w:hAnsi="Times New Roman" w:cs="Times New Roman"/>
          <w:color w:val="000000" w:themeColor="text1"/>
        </w:rPr>
        <w:t xml:space="preserve">chemistry </w:t>
      </w:r>
      <w:r w:rsidR="000E174B" w:rsidRPr="00875AC3">
        <w:rPr>
          <w:rFonts w:ascii="Times New Roman" w:hAnsi="Times New Roman" w:cs="Times New Roman"/>
          <w:color w:val="000000" w:themeColor="text1"/>
        </w:rPr>
        <w:t>parameters</w:t>
      </w:r>
      <w:r w:rsidR="004155B0" w:rsidRPr="00875AC3">
        <w:rPr>
          <w:rFonts w:ascii="Times New Roman" w:hAnsi="Times New Roman" w:cs="Times New Roman"/>
          <w:color w:val="000000" w:themeColor="text1"/>
        </w:rPr>
        <w:t xml:space="preserve"> (including fasting glucose level)</w:t>
      </w:r>
      <w:r w:rsidR="000E174B" w:rsidRPr="00875AC3">
        <w:rPr>
          <w:rFonts w:ascii="Times New Roman" w:hAnsi="Times New Roman" w:cs="Times New Roman"/>
          <w:color w:val="000000" w:themeColor="text1"/>
        </w:rPr>
        <w:t>,</w:t>
      </w:r>
      <w:r w:rsidR="004155B0" w:rsidRPr="00875AC3">
        <w:rPr>
          <w:rFonts w:ascii="Times New Roman" w:hAnsi="Times New Roman" w:cs="Times New Roman"/>
          <w:color w:val="000000" w:themeColor="text1"/>
        </w:rPr>
        <w:t xml:space="preserve"> and baseline </w:t>
      </w:r>
      <w:r w:rsidR="000E174B" w:rsidRPr="00875AC3">
        <w:rPr>
          <w:rFonts w:ascii="Times New Roman" w:hAnsi="Times New Roman" w:cs="Times New Roman"/>
          <w:color w:val="000000" w:themeColor="text1"/>
        </w:rPr>
        <w:t>electrocardiogram</w:t>
      </w:r>
      <w:r w:rsidR="004155B0" w:rsidRPr="00875AC3">
        <w:rPr>
          <w:rFonts w:ascii="Times New Roman" w:hAnsi="Times New Roman" w:cs="Times New Roman"/>
          <w:color w:val="000000" w:themeColor="text1"/>
        </w:rPr>
        <w:t>.</w:t>
      </w:r>
      <w:r w:rsidR="00EF743A" w:rsidRPr="00875AC3">
        <w:rPr>
          <w:rFonts w:ascii="Times New Roman" w:hAnsi="Times New Roman" w:cs="Times New Roman"/>
          <w:color w:val="000000" w:themeColor="text1"/>
        </w:rPr>
        <w:t xml:space="preserve"> </w:t>
      </w:r>
    </w:p>
    <w:p w14:paraId="3158CFC0" w14:textId="5682784B" w:rsidR="007A2B89" w:rsidRPr="00875AC3" w:rsidRDefault="007A2B89">
      <w:pPr>
        <w:spacing w:line="480" w:lineRule="auto"/>
        <w:jc w:val="both"/>
        <w:rPr>
          <w:rFonts w:ascii="Times New Roman" w:hAnsi="Times New Roman" w:cs="Times New Roman"/>
          <w:color w:val="000000" w:themeColor="text1"/>
        </w:rPr>
      </w:pPr>
      <w:r w:rsidRPr="00875AC3">
        <w:rPr>
          <w:rFonts w:ascii="Times New Roman" w:hAnsi="Times New Roman" w:cs="Times New Roman"/>
          <w:b/>
          <w:color w:val="000000" w:themeColor="text1"/>
        </w:rPr>
        <w:t>Rats:</w:t>
      </w:r>
      <w:r w:rsidRPr="00875AC3">
        <w:rPr>
          <w:rFonts w:ascii="Times New Roman" w:hAnsi="Times New Roman" w:cs="Times New Roman"/>
          <w:color w:val="000000" w:themeColor="text1"/>
        </w:rPr>
        <w:t xml:space="preserve"> A total of fifty-four studies were performed on </w:t>
      </w:r>
      <w:r w:rsidR="0082061B" w:rsidRPr="00875AC3">
        <w:rPr>
          <w:rFonts w:ascii="Times New Roman" w:hAnsi="Times New Roman" w:cs="Times New Roman"/>
          <w:color w:val="000000" w:themeColor="text1"/>
        </w:rPr>
        <w:t>12-14</w:t>
      </w:r>
      <w:r w:rsidRPr="00875AC3">
        <w:rPr>
          <w:rFonts w:ascii="Times New Roman" w:hAnsi="Times New Roman" w:cs="Times New Roman"/>
          <w:color w:val="000000" w:themeColor="text1"/>
        </w:rPr>
        <w:t xml:space="preserve"> week-old male Sprague Dawley rats (Charles River Breeding Laboratories). Pilot studies were performed on </w:t>
      </w:r>
      <w:r w:rsidR="00CD087C" w:rsidRPr="00875AC3">
        <w:rPr>
          <w:rFonts w:ascii="Times New Roman" w:hAnsi="Times New Roman" w:cs="Times New Roman"/>
          <w:color w:val="000000" w:themeColor="text1"/>
        </w:rPr>
        <w:t>thirty</w:t>
      </w:r>
      <w:r w:rsidRPr="00875AC3">
        <w:rPr>
          <w:rFonts w:ascii="Times New Roman" w:hAnsi="Times New Roman" w:cs="Times New Roman"/>
          <w:color w:val="000000" w:themeColor="text1"/>
        </w:rPr>
        <w:t>-</w:t>
      </w:r>
      <w:r w:rsidR="00CD087C" w:rsidRPr="00875AC3">
        <w:rPr>
          <w:rFonts w:ascii="Times New Roman" w:hAnsi="Times New Roman" w:cs="Times New Roman"/>
          <w:color w:val="000000" w:themeColor="text1"/>
        </w:rPr>
        <w:t xml:space="preserve">five </w:t>
      </w:r>
      <w:r w:rsidRPr="00875AC3">
        <w:rPr>
          <w:rFonts w:ascii="Times New Roman" w:hAnsi="Times New Roman" w:cs="Times New Roman"/>
          <w:color w:val="000000" w:themeColor="text1"/>
        </w:rPr>
        <w:t xml:space="preserve">of these </w:t>
      </w:r>
      <w:r w:rsidR="0082061B" w:rsidRPr="00875AC3">
        <w:rPr>
          <w:rFonts w:ascii="Times New Roman" w:hAnsi="Times New Roman" w:cs="Times New Roman"/>
          <w:color w:val="000000" w:themeColor="text1"/>
        </w:rPr>
        <w:t>rats</w:t>
      </w:r>
      <w:r w:rsidRPr="00875AC3">
        <w:rPr>
          <w:rFonts w:ascii="Times New Roman" w:hAnsi="Times New Roman" w:cs="Times New Roman"/>
          <w:color w:val="000000" w:themeColor="text1"/>
        </w:rPr>
        <w:t xml:space="preserve">, to assess appropriate time course, glucose levels, and optimal glyburide and diazoxide doses. </w:t>
      </w:r>
      <w:r w:rsidR="00CD087C" w:rsidRPr="00875AC3">
        <w:rPr>
          <w:rFonts w:ascii="Times New Roman" w:hAnsi="Times New Roman" w:cs="Times New Roman"/>
          <w:color w:val="000000" w:themeColor="text1"/>
        </w:rPr>
        <w:t>Nineteen</w:t>
      </w:r>
      <w:r w:rsidRPr="00875AC3">
        <w:rPr>
          <w:rFonts w:ascii="Times New Roman" w:hAnsi="Times New Roman" w:cs="Times New Roman"/>
          <w:color w:val="000000" w:themeColor="text1"/>
        </w:rPr>
        <w:t xml:space="preserve"> </w:t>
      </w:r>
      <w:r w:rsidR="0082061B" w:rsidRPr="00875AC3">
        <w:rPr>
          <w:rFonts w:ascii="Times New Roman" w:hAnsi="Times New Roman" w:cs="Times New Roman"/>
          <w:color w:val="000000" w:themeColor="text1"/>
        </w:rPr>
        <w:t>rats</w:t>
      </w:r>
      <w:r w:rsidRPr="00875AC3">
        <w:rPr>
          <w:rFonts w:ascii="Times New Roman" w:hAnsi="Times New Roman" w:cs="Times New Roman"/>
          <w:color w:val="000000" w:themeColor="text1"/>
        </w:rPr>
        <w:t xml:space="preserve"> with an average weight o</w:t>
      </w:r>
      <w:r w:rsidR="00A7500F" w:rsidRPr="00875AC3">
        <w:rPr>
          <w:rFonts w:ascii="Times New Roman" w:hAnsi="Times New Roman" w:cs="Times New Roman"/>
          <w:color w:val="000000" w:themeColor="text1"/>
        </w:rPr>
        <w:t>f 3</w:t>
      </w:r>
      <w:r w:rsidR="00401F42" w:rsidRPr="00875AC3">
        <w:rPr>
          <w:rFonts w:ascii="Times New Roman" w:hAnsi="Times New Roman" w:cs="Times New Roman"/>
          <w:color w:val="000000" w:themeColor="text1"/>
        </w:rPr>
        <w:t>86.1</w:t>
      </w:r>
      <w:r w:rsidR="00A7500F" w:rsidRPr="00875AC3">
        <w:rPr>
          <w:rFonts w:ascii="Times New Roman" w:hAnsi="Times New Roman" w:cs="Times New Roman"/>
          <w:color w:val="000000" w:themeColor="text1"/>
        </w:rPr>
        <w:t xml:space="preserve"> </w:t>
      </w:r>
      <w:r w:rsidR="0027560D" w:rsidRPr="00875AC3">
        <w:rPr>
          <w:rFonts w:ascii="Times New Roman" w:hAnsi="Times New Roman" w:cs="Times New Roman"/>
          <w:color w:val="000000" w:themeColor="text1"/>
        </w:rPr>
        <w:t>±</w:t>
      </w:r>
      <w:r w:rsidR="00A7500F" w:rsidRPr="00875AC3">
        <w:rPr>
          <w:rFonts w:ascii="Times New Roman" w:hAnsi="Times New Roman" w:cs="Times New Roman"/>
          <w:color w:val="000000" w:themeColor="text1"/>
        </w:rPr>
        <w:t xml:space="preserve"> </w:t>
      </w:r>
      <w:r w:rsidR="00401F42" w:rsidRPr="00875AC3">
        <w:rPr>
          <w:rFonts w:ascii="Times New Roman" w:hAnsi="Times New Roman" w:cs="Times New Roman"/>
          <w:color w:val="000000" w:themeColor="text1"/>
        </w:rPr>
        <w:t>7</w:t>
      </w:r>
      <w:r w:rsidR="00A7500F" w:rsidRPr="00875AC3">
        <w:rPr>
          <w:rFonts w:ascii="Times New Roman" w:hAnsi="Times New Roman" w:cs="Times New Roman"/>
          <w:color w:val="000000" w:themeColor="text1"/>
        </w:rPr>
        <w:t>.</w:t>
      </w:r>
      <w:r w:rsidR="00DB5E93" w:rsidRPr="00875AC3">
        <w:rPr>
          <w:rFonts w:ascii="Times New Roman" w:hAnsi="Times New Roman" w:cs="Times New Roman"/>
          <w:color w:val="000000" w:themeColor="text1"/>
        </w:rPr>
        <w:t>2</w:t>
      </w:r>
      <w:r w:rsidR="00A7500F" w:rsidRPr="00875AC3">
        <w:rPr>
          <w:rFonts w:ascii="Times New Roman" w:hAnsi="Times New Roman" w:cs="Times New Roman"/>
          <w:color w:val="000000" w:themeColor="text1"/>
        </w:rPr>
        <w:t xml:space="preserve"> g w</w:t>
      </w:r>
      <w:r w:rsidRPr="00875AC3">
        <w:rPr>
          <w:rFonts w:ascii="Times New Roman" w:hAnsi="Times New Roman" w:cs="Times New Roman"/>
          <w:color w:val="000000" w:themeColor="text1"/>
        </w:rPr>
        <w:t>ere studied under the following conditions: 1. Oral (gavage) normal saline control (NS, n=</w:t>
      </w:r>
      <w:r w:rsidR="00CD087C" w:rsidRPr="00875AC3">
        <w:rPr>
          <w:rFonts w:ascii="Times New Roman" w:hAnsi="Times New Roman" w:cs="Times New Roman"/>
          <w:color w:val="000000" w:themeColor="text1"/>
        </w:rPr>
        <w:t>7</w:t>
      </w:r>
      <w:r w:rsidRPr="00875AC3">
        <w:rPr>
          <w:rFonts w:ascii="Times New Roman" w:hAnsi="Times New Roman" w:cs="Times New Roman"/>
          <w:color w:val="000000" w:themeColor="text1"/>
        </w:rPr>
        <w:t>)</w:t>
      </w:r>
      <w:r w:rsidR="00082461" w:rsidRPr="00875AC3">
        <w:rPr>
          <w:rFonts w:ascii="Times New Roman" w:hAnsi="Times New Roman" w:cs="Times New Roman"/>
          <w:color w:val="000000" w:themeColor="text1"/>
        </w:rPr>
        <w:t>.</w:t>
      </w:r>
    </w:p>
    <w:p w14:paraId="3726BAD6" w14:textId="594627BF" w:rsidR="007A2B89" w:rsidRPr="00875AC3" w:rsidRDefault="007A2B89"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2. Oral (gavage) Glyburide (G</w:t>
      </w:r>
      <w:r w:rsidR="00B275DC" w:rsidRPr="00875AC3">
        <w:rPr>
          <w:rFonts w:ascii="Times New Roman" w:hAnsi="Times New Roman" w:cs="Times New Roman"/>
          <w:color w:val="000000" w:themeColor="text1"/>
        </w:rPr>
        <w:t>LB</w:t>
      </w:r>
      <w:r w:rsidRPr="00875AC3">
        <w:rPr>
          <w:rFonts w:ascii="Times New Roman" w:hAnsi="Times New Roman" w:cs="Times New Roman"/>
          <w:color w:val="000000" w:themeColor="text1"/>
        </w:rPr>
        <w:t>, n=</w:t>
      </w:r>
      <w:r w:rsidR="00CD087C" w:rsidRPr="00875AC3">
        <w:rPr>
          <w:rFonts w:ascii="Times New Roman" w:hAnsi="Times New Roman" w:cs="Times New Roman"/>
          <w:color w:val="000000" w:themeColor="text1"/>
        </w:rPr>
        <w:t>7</w:t>
      </w:r>
      <w:r w:rsidRPr="00875AC3">
        <w:rPr>
          <w:rFonts w:ascii="Times New Roman" w:hAnsi="Times New Roman" w:cs="Times New Roman"/>
          <w:color w:val="000000" w:themeColor="text1"/>
        </w:rPr>
        <w:t>)</w:t>
      </w:r>
      <w:r w:rsidR="00082461" w:rsidRPr="00875AC3">
        <w:rPr>
          <w:rFonts w:ascii="Times New Roman" w:hAnsi="Times New Roman" w:cs="Times New Roman"/>
          <w:color w:val="000000" w:themeColor="text1"/>
        </w:rPr>
        <w:t>.</w:t>
      </w:r>
      <w:r w:rsidRPr="00875AC3">
        <w:rPr>
          <w:rFonts w:ascii="Times New Roman" w:hAnsi="Times New Roman" w:cs="Times New Roman"/>
          <w:color w:val="000000" w:themeColor="text1"/>
        </w:rPr>
        <w:t xml:space="preserve"> </w:t>
      </w:r>
    </w:p>
    <w:p w14:paraId="63DA8586" w14:textId="52962122" w:rsidR="007A2B89" w:rsidRPr="00875AC3" w:rsidRDefault="007A2B89"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 xml:space="preserve">3. Oral (gavage) Glyburide with </w:t>
      </w:r>
      <w:r w:rsidR="0027560D" w:rsidRPr="00875AC3">
        <w:rPr>
          <w:rFonts w:ascii="Times New Roman" w:hAnsi="Times New Roman" w:cs="Times New Roman"/>
          <w:color w:val="000000" w:themeColor="text1"/>
        </w:rPr>
        <w:t xml:space="preserve">intracerebroventricular (ICV) </w:t>
      </w:r>
      <w:r w:rsidRPr="00875AC3">
        <w:rPr>
          <w:rFonts w:ascii="Times New Roman" w:hAnsi="Times New Roman" w:cs="Times New Roman"/>
          <w:color w:val="000000" w:themeColor="text1"/>
        </w:rPr>
        <w:t>infusion of the K</w:t>
      </w:r>
      <w:r w:rsidRPr="00875AC3">
        <w:rPr>
          <w:rFonts w:ascii="Times New Roman" w:hAnsi="Times New Roman" w:cs="Times New Roman"/>
          <w:color w:val="000000" w:themeColor="text1"/>
          <w:vertAlign w:val="subscript"/>
        </w:rPr>
        <w:t>ATP</w:t>
      </w:r>
      <w:r w:rsidRPr="00875AC3">
        <w:rPr>
          <w:rFonts w:ascii="Times New Roman" w:hAnsi="Times New Roman" w:cs="Times New Roman"/>
          <w:color w:val="000000" w:themeColor="text1"/>
        </w:rPr>
        <w:t xml:space="preserve"> channel activator blocker Diazoxide (G</w:t>
      </w:r>
      <w:r w:rsidR="00B275DC" w:rsidRPr="00875AC3">
        <w:rPr>
          <w:rFonts w:ascii="Times New Roman" w:hAnsi="Times New Roman" w:cs="Times New Roman"/>
          <w:color w:val="000000" w:themeColor="text1"/>
        </w:rPr>
        <w:t>LB</w:t>
      </w:r>
      <w:r w:rsidRPr="00875AC3">
        <w:rPr>
          <w:rFonts w:ascii="Times New Roman" w:hAnsi="Times New Roman" w:cs="Times New Roman"/>
          <w:color w:val="000000" w:themeColor="text1"/>
        </w:rPr>
        <w:t>+D</w:t>
      </w:r>
      <w:r w:rsidR="00B275DC" w:rsidRPr="00875AC3">
        <w:rPr>
          <w:rFonts w:ascii="Times New Roman" w:hAnsi="Times New Roman" w:cs="Times New Roman"/>
          <w:color w:val="000000" w:themeColor="text1"/>
        </w:rPr>
        <w:t>ZX</w:t>
      </w:r>
      <w:r w:rsidRPr="00875AC3">
        <w:rPr>
          <w:rFonts w:ascii="Times New Roman" w:hAnsi="Times New Roman" w:cs="Times New Roman"/>
          <w:color w:val="000000" w:themeColor="text1"/>
        </w:rPr>
        <w:t>, n=</w:t>
      </w:r>
      <w:r w:rsidR="00CD087C" w:rsidRPr="00875AC3">
        <w:rPr>
          <w:rFonts w:ascii="Times New Roman" w:hAnsi="Times New Roman" w:cs="Times New Roman"/>
          <w:color w:val="000000" w:themeColor="text1"/>
        </w:rPr>
        <w:t>5</w:t>
      </w:r>
      <w:r w:rsidRPr="00875AC3">
        <w:rPr>
          <w:rFonts w:ascii="Times New Roman" w:hAnsi="Times New Roman" w:cs="Times New Roman"/>
          <w:color w:val="000000" w:themeColor="text1"/>
        </w:rPr>
        <w:t>)</w:t>
      </w:r>
      <w:r w:rsidR="00082461" w:rsidRPr="00875AC3">
        <w:rPr>
          <w:rFonts w:ascii="Times New Roman" w:hAnsi="Times New Roman" w:cs="Times New Roman"/>
          <w:color w:val="000000" w:themeColor="text1"/>
        </w:rPr>
        <w:t>.</w:t>
      </w:r>
    </w:p>
    <w:p w14:paraId="4EDD794D" w14:textId="4164C995" w:rsidR="0027560D" w:rsidRPr="00875AC3" w:rsidRDefault="00B275DC"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Tw</w:t>
      </w:r>
      <w:r w:rsidR="0027560D" w:rsidRPr="00875AC3">
        <w:rPr>
          <w:rFonts w:ascii="Times New Roman" w:hAnsi="Times New Roman" w:cs="Times New Roman"/>
          <w:color w:val="000000" w:themeColor="text1"/>
        </w:rPr>
        <w:t>enty minutes</w:t>
      </w:r>
      <w:r w:rsidR="00875AC3" w:rsidRPr="00875AC3">
        <w:rPr>
          <w:rFonts w:ascii="Times New Roman" w:hAnsi="Times New Roman" w:cs="Times New Roman"/>
          <w:color w:val="000000" w:themeColor="text1"/>
        </w:rPr>
        <w:t xml:space="preserve"> </w:t>
      </w:r>
      <w:r w:rsidRPr="00875AC3">
        <w:rPr>
          <w:rFonts w:ascii="Times New Roman" w:hAnsi="Times New Roman" w:cs="Times New Roman"/>
          <w:color w:val="000000" w:themeColor="text1"/>
        </w:rPr>
        <w:t>prior to a four-hour pancreatic clamp study, rats matched for age and weight</w:t>
      </w:r>
      <w:r w:rsidR="007A2B89" w:rsidRPr="00875AC3">
        <w:rPr>
          <w:rFonts w:ascii="Times New Roman" w:hAnsi="Times New Roman" w:cs="Times New Roman"/>
          <w:color w:val="000000" w:themeColor="text1"/>
        </w:rPr>
        <w:t xml:space="preserve"> received oral normal saline (NS) or </w:t>
      </w:r>
      <w:r w:rsidR="00E72DDF" w:rsidRPr="00875AC3">
        <w:rPr>
          <w:rFonts w:ascii="Times New Roman" w:hAnsi="Times New Roman" w:cs="Times New Roman"/>
          <w:color w:val="000000" w:themeColor="text1"/>
        </w:rPr>
        <w:t>2.5 mg</w:t>
      </w:r>
      <w:r w:rsidR="00FF034D" w:rsidRPr="00875AC3">
        <w:rPr>
          <w:rFonts w:ascii="Times New Roman" w:hAnsi="Times New Roman" w:cs="Times New Roman"/>
          <w:color w:val="000000" w:themeColor="text1"/>
        </w:rPr>
        <w:t>/kg</w:t>
      </w:r>
      <w:r w:rsidR="00E72DDF" w:rsidRPr="00875AC3">
        <w:rPr>
          <w:rFonts w:ascii="Times New Roman" w:hAnsi="Times New Roman" w:cs="Times New Roman"/>
          <w:color w:val="000000" w:themeColor="text1"/>
        </w:rPr>
        <w:t xml:space="preserve"> of </w:t>
      </w:r>
      <w:r w:rsidR="007A2B89" w:rsidRPr="00875AC3">
        <w:rPr>
          <w:rFonts w:ascii="Times New Roman" w:hAnsi="Times New Roman" w:cs="Times New Roman"/>
          <w:color w:val="000000" w:themeColor="text1"/>
        </w:rPr>
        <w:t>Glyburide (G</w:t>
      </w:r>
      <w:r w:rsidRPr="00875AC3">
        <w:rPr>
          <w:rFonts w:ascii="Times New Roman" w:hAnsi="Times New Roman" w:cs="Times New Roman"/>
          <w:color w:val="000000" w:themeColor="text1"/>
        </w:rPr>
        <w:t>LB</w:t>
      </w:r>
      <w:r w:rsidR="007A2B89" w:rsidRPr="00875AC3">
        <w:rPr>
          <w:rFonts w:ascii="Times New Roman" w:hAnsi="Times New Roman" w:cs="Times New Roman"/>
          <w:color w:val="000000" w:themeColor="text1"/>
        </w:rPr>
        <w:t xml:space="preserve">) by gavage </w:t>
      </w:r>
      <w:r w:rsidRPr="00875AC3">
        <w:rPr>
          <w:rFonts w:ascii="Times New Roman" w:hAnsi="Times New Roman" w:cs="Times New Roman"/>
          <w:color w:val="000000" w:themeColor="text1"/>
        </w:rPr>
        <w:t>in parallel with the human stud</w:t>
      </w:r>
      <w:r w:rsidR="00AA0BAE" w:rsidRPr="00875AC3">
        <w:rPr>
          <w:rFonts w:ascii="Times New Roman" w:hAnsi="Times New Roman" w:cs="Times New Roman"/>
          <w:color w:val="000000" w:themeColor="text1"/>
        </w:rPr>
        <w:t xml:space="preserve">ies </w:t>
      </w:r>
      <w:r w:rsidR="007A2B89" w:rsidRPr="00875AC3">
        <w:rPr>
          <w:rFonts w:ascii="Times New Roman" w:hAnsi="Times New Roman" w:cs="Times New Roman"/>
          <w:color w:val="000000" w:themeColor="text1"/>
        </w:rPr>
        <w:t xml:space="preserve">(Figure A). </w:t>
      </w:r>
      <w:r w:rsidRPr="00875AC3">
        <w:rPr>
          <w:rFonts w:ascii="Times New Roman" w:hAnsi="Times New Roman" w:cs="Times New Roman"/>
          <w:color w:val="000000" w:themeColor="text1"/>
        </w:rPr>
        <w:t>To determine whether the effects of oral glyburide on EGP are mediated th</w:t>
      </w:r>
      <w:r w:rsidR="00172876" w:rsidRPr="00875AC3">
        <w:rPr>
          <w:rFonts w:ascii="Times New Roman" w:hAnsi="Times New Roman" w:cs="Times New Roman"/>
          <w:color w:val="000000" w:themeColor="text1"/>
        </w:rPr>
        <w:t>r</w:t>
      </w:r>
      <w:r w:rsidRPr="00875AC3">
        <w:rPr>
          <w:rFonts w:ascii="Times New Roman" w:hAnsi="Times New Roman" w:cs="Times New Roman"/>
          <w:color w:val="000000" w:themeColor="text1"/>
        </w:rPr>
        <w:t xml:space="preserve">ough central mechanisms, a third group of rats received </w:t>
      </w:r>
      <w:r w:rsidR="007A2B89" w:rsidRPr="00875AC3">
        <w:rPr>
          <w:rFonts w:ascii="Times New Roman" w:hAnsi="Times New Roman" w:cs="Times New Roman"/>
          <w:color w:val="000000" w:themeColor="text1"/>
        </w:rPr>
        <w:t>the same dose of oral glyburide with an ICV infusion of the K</w:t>
      </w:r>
      <w:r w:rsidR="007A2B89" w:rsidRPr="00875AC3">
        <w:rPr>
          <w:rFonts w:ascii="Times New Roman" w:hAnsi="Times New Roman" w:cs="Times New Roman"/>
          <w:color w:val="000000" w:themeColor="text1"/>
          <w:vertAlign w:val="subscript"/>
        </w:rPr>
        <w:t>ATP</w:t>
      </w:r>
      <w:r w:rsidR="007A2B89" w:rsidRPr="00875AC3">
        <w:rPr>
          <w:rFonts w:ascii="Times New Roman" w:hAnsi="Times New Roman" w:cs="Times New Roman"/>
          <w:color w:val="000000" w:themeColor="text1"/>
        </w:rPr>
        <w:t xml:space="preserve"> channel activator Diazoxide (G</w:t>
      </w:r>
      <w:r w:rsidR="007D4F9C" w:rsidRPr="00875AC3">
        <w:rPr>
          <w:rFonts w:ascii="Times New Roman" w:hAnsi="Times New Roman" w:cs="Times New Roman"/>
          <w:color w:val="000000" w:themeColor="text1"/>
        </w:rPr>
        <w:t>LB</w:t>
      </w:r>
      <w:r w:rsidR="007A2B89" w:rsidRPr="00875AC3">
        <w:rPr>
          <w:rFonts w:ascii="Times New Roman" w:hAnsi="Times New Roman" w:cs="Times New Roman"/>
          <w:color w:val="000000" w:themeColor="text1"/>
        </w:rPr>
        <w:t>+D</w:t>
      </w:r>
      <w:r w:rsidR="007D4F9C" w:rsidRPr="00875AC3">
        <w:rPr>
          <w:rFonts w:ascii="Times New Roman" w:hAnsi="Times New Roman" w:cs="Times New Roman"/>
          <w:color w:val="000000" w:themeColor="text1"/>
        </w:rPr>
        <w:t>ZX, 9.6 mg/dl</w:t>
      </w:r>
      <w:r w:rsidRPr="00875AC3">
        <w:rPr>
          <w:rFonts w:ascii="Times New Roman" w:hAnsi="Times New Roman" w:cs="Times New Roman"/>
          <w:color w:val="000000" w:themeColor="text1"/>
        </w:rPr>
        <w:t>)</w:t>
      </w:r>
      <w:r w:rsidR="007A2B89" w:rsidRPr="00875AC3">
        <w:rPr>
          <w:rFonts w:ascii="Times New Roman" w:hAnsi="Times New Roman" w:cs="Times New Roman"/>
          <w:color w:val="000000" w:themeColor="text1"/>
        </w:rPr>
        <w:t xml:space="preserve"> two hours prior to the pancreatic clamp study</w:t>
      </w:r>
      <w:r w:rsidR="00172876" w:rsidRPr="00875AC3">
        <w:rPr>
          <w:rFonts w:ascii="Times New Roman" w:hAnsi="Times New Roman" w:cs="Times New Roman"/>
          <w:color w:val="000000" w:themeColor="text1"/>
        </w:rPr>
        <w:t xml:space="preserve"> (Figure </w:t>
      </w:r>
      <w:r w:rsidR="00AA17F3" w:rsidRPr="00875AC3">
        <w:rPr>
          <w:rFonts w:ascii="Times New Roman" w:hAnsi="Times New Roman" w:cs="Times New Roman"/>
          <w:color w:val="000000" w:themeColor="text1"/>
        </w:rPr>
        <w:t>2B</w:t>
      </w:r>
      <w:r w:rsidR="00172876" w:rsidRPr="00875AC3">
        <w:rPr>
          <w:rFonts w:ascii="Times New Roman" w:hAnsi="Times New Roman" w:cs="Times New Roman"/>
          <w:color w:val="000000" w:themeColor="text1"/>
        </w:rPr>
        <w:t>)</w:t>
      </w:r>
      <w:r w:rsidRPr="00875AC3">
        <w:rPr>
          <w:rFonts w:ascii="Times New Roman" w:hAnsi="Times New Roman" w:cs="Times New Roman"/>
          <w:color w:val="000000" w:themeColor="text1"/>
        </w:rPr>
        <w:t>.</w:t>
      </w:r>
      <w:r w:rsidR="007A2B89" w:rsidRPr="00875AC3">
        <w:rPr>
          <w:rFonts w:ascii="Times New Roman" w:hAnsi="Times New Roman" w:cs="Times New Roman"/>
          <w:color w:val="000000" w:themeColor="text1"/>
        </w:rPr>
        <w:t xml:space="preserve"> </w:t>
      </w:r>
      <w:r w:rsidRPr="00875AC3">
        <w:rPr>
          <w:rFonts w:ascii="Times New Roman" w:hAnsi="Times New Roman" w:cs="Times New Roman"/>
          <w:color w:val="000000" w:themeColor="text1"/>
        </w:rPr>
        <w:t>As previously described, r</w:t>
      </w:r>
      <w:r w:rsidR="007A2B89" w:rsidRPr="00875AC3">
        <w:rPr>
          <w:rFonts w:ascii="Times New Roman" w:hAnsi="Times New Roman" w:cs="Times New Roman"/>
          <w:color w:val="000000" w:themeColor="text1"/>
        </w:rPr>
        <w:t xml:space="preserve">ats were prepared for the in vivo experiments </w:t>
      </w:r>
      <w:r w:rsidR="007D4F9C" w:rsidRPr="00875AC3">
        <w:rPr>
          <w:rFonts w:ascii="Times New Roman" w:hAnsi="Times New Roman" w:cs="Times New Roman"/>
          <w:color w:val="000000" w:themeColor="text1"/>
        </w:rPr>
        <w:t>with</w:t>
      </w:r>
      <w:r w:rsidR="007A2B89" w:rsidRPr="00875AC3">
        <w:rPr>
          <w:rFonts w:ascii="Times New Roman" w:hAnsi="Times New Roman" w:cs="Times New Roman"/>
          <w:color w:val="000000" w:themeColor="text1"/>
        </w:rPr>
        <w:t xml:space="preserve"> </w:t>
      </w:r>
      <w:r w:rsidR="007D4F9C" w:rsidRPr="00875AC3">
        <w:rPr>
          <w:rFonts w:ascii="Times New Roman" w:hAnsi="Times New Roman" w:cs="Times New Roman"/>
          <w:color w:val="000000" w:themeColor="text1"/>
        </w:rPr>
        <w:t>i</w:t>
      </w:r>
      <w:r w:rsidRPr="00875AC3">
        <w:rPr>
          <w:rFonts w:ascii="Times New Roman" w:hAnsi="Times New Roman" w:cs="Times New Roman"/>
          <w:color w:val="000000" w:themeColor="text1"/>
        </w:rPr>
        <w:t>mplantation</w:t>
      </w:r>
      <w:r w:rsidR="007A2B89" w:rsidRPr="00875AC3">
        <w:rPr>
          <w:rFonts w:ascii="Times New Roman" w:hAnsi="Times New Roman" w:cs="Times New Roman"/>
          <w:color w:val="000000" w:themeColor="text1"/>
        </w:rPr>
        <w:t xml:space="preserve"> of an ICV </w:t>
      </w:r>
      <w:r w:rsidR="00172876" w:rsidRPr="00875AC3">
        <w:rPr>
          <w:rFonts w:ascii="Times New Roman" w:hAnsi="Times New Roman" w:cs="Times New Roman"/>
          <w:color w:val="000000" w:themeColor="text1"/>
        </w:rPr>
        <w:t xml:space="preserve">cannula </w:t>
      </w:r>
      <w:r w:rsidR="007A2B89" w:rsidRPr="00875AC3">
        <w:rPr>
          <w:rFonts w:ascii="Times New Roman" w:hAnsi="Times New Roman" w:cs="Times New Roman"/>
          <w:color w:val="000000" w:themeColor="text1"/>
        </w:rPr>
        <w:t>under anesthesia</w:t>
      </w:r>
      <w:r w:rsidRPr="00875AC3">
        <w:rPr>
          <w:rFonts w:ascii="Times New Roman" w:hAnsi="Times New Roman" w:cs="Times New Roman"/>
          <w:color w:val="000000" w:themeColor="text1"/>
        </w:rPr>
        <w:t xml:space="preserve"> occurred</w:t>
      </w:r>
      <w:r w:rsidR="007A2B89" w:rsidRPr="00875AC3">
        <w:rPr>
          <w:rFonts w:ascii="Times New Roman" w:hAnsi="Times New Roman" w:cs="Times New Roman"/>
          <w:color w:val="000000" w:themeColor="text1"/>
        </w:rPr>
        <w:t xml:space="preserve"> two weeks prior to the study and implantation of carotid and internal jugular catheters </w:t>
      </w:r>
      <w:r w:rsidRPr="00875AC3">
        <w:rPr>
          <w:rFonts w:ascii="Times New Roman" w:hAnsi="Times New Roman" w:cs="Times New Roman"/>
          <w:color w:val="000000" w:themeColor="text1"/>
        </w:rPr>
        <w:t xml:space="preserve">occurred </w:t>
      </w:r>
      <w:r w:rsidR="007A2B89" w:rsidRPr="00875AC3">
        <w:rPr>
          <w:rFonts w:ascii="Times New Roman" w:hAnsi="Times New Roman" w:cs="Times New Roman"/>
          <w:color w:val="000000" w:themeColor="text1"/>
        </w:rPr>
        <w:t>one week prior</w:t>
      </w:r>
      <w:r w:rsidR="007D4F9C" w:rsidRPr="00875AC3">
        <w:rPr>
          <w:rFonts w:ascii="Times New Roman" w:hAnsi="Times New Roman" w:cs="Times New Roman"/>
          <w:color w:val="000000" w:themeColor="text1"/>
        </w:rPr>
        <w:t xml:space="preserve"> (</w:t>
      </w:r>
      <w:r w:rsidR="000A33EE" w:rsidRPr="00875AC3">
        <w:rPr>
          <w:rFonts w:ascii="Times New Roman" w:hAnsi="Times New Roman" w:cs="Times New Roman"/>
          <w:color w:val="000000" w:themeColor="text1"/>
        </w:rPr>
        <w:t>1</w:t>
      </w:r>
      <w:r w:rsidR="007D4F9C" w:rsidRPr="00875AC3">
        <w:rPr>
          <w:rFonts w:ascii="Times New Roman" w:hAnsi="Times New Roman" w:cs="Times New Roman"/>
          <w:color w:val="000000" w:themeColor="text1"/>
        </w:rPr>
        <w:t>,</w:t>
      </w:r>
      <w:r w:rsidR="00C213A1" w:rsidRPr="00875AC3">
        <w:rPr>
          <w:rFonts w:ascii="Times New Roman" w:hAnsi="Times New Roman" w:cs="Times New Roman"/>
          <w:color w:val="000000" w:themeColor="text1"/>
        </w:rPr>
        <w:t>2</w:t>
      </w:r>
      <w:r w:rsidR="007D4F9C" w:rsidRPr="00875AC3">
        <w:rPr>
          <w:rFonts w:ascii="Times New Roman" w:hAnsi="Times New Roman" w:cs="Times New Roman"/>
          <w:color w:val="000000" w:themeColor="text1"/>
        </w:rPr>
        <w:t>)</w:t>
      </w:r>
      <w:r w:rsidR="007A2B89" w:rsidRPr="00875AC3">
        <w:rPr>
          <w:rFonts w:ascii="Times New Roman" w:hAnsi="Times New Roman" w:cs="Times New Roman"/>
          <w:color w:val="000000" w:themeColor="text1"/>
        </w:rPr>
        <w:t>.</w:t>
      </w:r>
    </w:p>
    <w:p w14:paraId="6AF5379D" w14:textId="77777777" w:rsidR="00875AC3" w:rsidRPr="00875AC3" w:rsidRDefault="00875AC3" w:rsidP="00875AC3">
      <w:pPr>
        <w:spacing w:line="480" w:lineRule="auto"/>
        <w:jc w:val="both"/>
        <w:rPr>
          <w:rFonts w:ascii="Times New Roman" w:hAnsi="Times New Roman" w:cs="Times New Roman"/>
          <w:b/>
          <w:color w:val="000000" w:themeColor="text1"/>
        </w:rPr>
      </w:pPr>
    </w:p>
    <w:p w14:paraId="2AD06C7D" w14:textId="6482048B" w:rsidR="000648BF" w:rsidRPr="00875AC3" w:rsidRDefault="000648BF" w:rsidP="00875AC3">
      <w:pPr>
        <w:spacing w:line="480" w:lineRule="auto"/>
        <w:jc w:val="both"/>
        <w:rPr>
          <w:rFonts w:ascii="Times New Roman" w:hAnsi="Times New Roman" w:cs="Times New Roman"/>
          <w:b/>
          <w:color w:val="000000" w:themeColor="text1"/>
        </w:rPr>
      </w:pPr>
      <w:r w:rsidRPr="00875AC3">
        <w:rPr>
          <w:rFonts w:ascii="Times New Roman" w:hAnsi="Times New Roman" w:cs="Times New Roman"/>
          <w:b/>
          <w:color w:val="000000" w:themeColor="text1"/>
        </w:rPr>
        <w:lastRenderedPageBreak/>
        <w:t>Intracerebroventricular (ICV) Cannulation:</w:t>
      </w:r>
    </w:p>
    <w:p w14:paraId="3373B671" w14:textId="44DE4C19" w:rsidR="000648BF" w:rsidRPr="00875AC3" w:rsidRDefault="000648BF" w:rsidP="00875AC3">
      <w:pPr>
        <w:spacing w:line="480" w:lineRule="auto"/>
        <w:jc w:val="both"/>
        <w:rPr>
          <w:rFonts w:ascii="Times New Roman" w:hAnsi="Times New Roman" w:cs="Times New Roman"/>
          <w:bCs/>
          <w:color w:val="000000" w:themeColor="text1"/>
        </w:rPr>
      </w:pPr>
      <w:r w:rsidRPr="00875AC3">
        <w:rPr>
          <w:rFonts w:ascii="Times New Roman" w:hAnsi="Times New Roman" w:cs="Times New Roman"/>
          <w:bCs/>
          <w:color w:val="000000" w:themeColor="text1"/>
        </w:rPr>
        <w:t xml:space="preserve">Three weeks prior to the clamp studies, all ICV cannulae were implanted into the third cerebral ventricle </w:t>
      </w:r>
      <w:r w:rsidRPr="00875AC3">
        <w:rPr>
          <w:rFonts w:ascii="Times New Roman" w:hAnsi="Times New Roman" w:cs="Times New Roman"/>
          <w:bCs/>
          <w:color w:val="000000" w:themeColor="text1"/>
          <w:lang w:val="en"/>
        </w:rPr>
        <w:t xml:space="preserve">by stereotaxic surgery, performed in Einstein’s </w:t>
      </w:r>
      <w:r w:rsidRPr="00875AC3">
        <w:rPr>
          <w:rFonts w:ascii="Times New Roman" w:hAnsi="Times New Roman" w:cs="Times New Roman"/>
          <w:color w:val="000000" w:themeColor="text1"/>
        </w:rPr>
        <w:t>Chronobiosis and Aging/Metabolism of Aging (CEAC) animal care facility</w:t>
      </w:r>
      <w:r w:rsidRPr="00875AC3">
        <w:rPr>
          <w:rFonts w:ascii="Times New Roman" w:hAnsi="Times New Roman" w:cs="Times New Roman"/>
          <w:bCs/>
          <w:color w:val="000000" w:themeColor="text1"/>
          <w:lang w:val="en"/>
        </w:rPr>
        <w:t> following the well-designed and histologically verified methodology developed by Rossetti’s group</w:t>
      </w:r>
      <w:r w:rsidRPr="00875AC3">
        <w:rPr>
          <w:rFonts w:ascii="Times New Roman" w:hAnsi="Times New Roman" w:cs="Times New Roman"/>
          <w:bCs/>
          <w:color w:val="000000" w:themeColor="text1"/>
        </w:rPr>
        <w:t xml:space="preserve"> (3, 4, 5, 6). </w:t>
      </w:r>
    </w:p>
    <w:p w14:paraId="142B4BC8" w14:textId="30D75BD4" w:rsidR="00066D33" w:rsidRPr="00875AC3" w:rsidRDefault="000648BF" w:rsidP="00875AC3">
      <w:pPr>
        <w:spacing w:line="480" w:lineRule="auto"/>
        <w:jc w:val="both"/>
        <w:rPr>
          <w:rFonts w:ascii="Times New Roman" w:hAnsi="Times New Roman" w:cs="Times New Roman"/>
          <w:bCs/>
          <w:color w:val="000000" w:themeColor="text1"/>
        </w:rPr>
      </w:pPr>
      <w:r w:rsidRPr="00875AC3">
        <w:rPr>
          <w:rFonts w:ascii="Times New Roman" w:hAnsi="Times New Roman" w:cs="Times New Roman"/>
          <w:bCs/>
          <w:color w:val="000000" w:themeColor="text1"/>
        </w:rPr>
        <w:t xml:space="preserve">Specifically, each </w:t>
      </w:r>
      <w:r w:rsidRPr="00875AC3">
        <w:rPr>
          <w:rFonts w:ascii="Times New Roman" w:hAnsi="Times New Roman" w:cs="Times New Roman"/>
          <w:bCs/>
          <w:color w:val="000000" w:themeColor="text1"/>
          <w:lang w:val="en"/>
        </w:rPr>
        <w:t xml:space="preserve">rat was fixed in a KOPF stereotaxic apparatus (DAVID KOPF INSTRUMENT, </w:t>
      </w:r>
      <w:r w:rsidRPr="00875AC3">
        <w:rPr>
          <w:rFonts w:ascii="Times New Roman" w:hAnsi="Times New Roman" w:cs="Times New Roman"/>
          <w:bCs/>
          <w:color w:val="000000" w:themeColor="text1"/>
        </w:rPr>
        <w:t xml:space="preserve">Tujunga, </w:t>
      </w:r>
      <w:r w:rsidRPr="00875AC3">
        <w:rPr>
          <w:rFonts w:ascii="Times New Roman" w:hAnsi="Times New Roman" w:cs="Times New Roman"/>
          <w:bCs/>
          <w:color w:val="000000" w:themeColor="text1"/>
          <w:lang w:val="en"/>
        </w:rPr>
        <w:t xml:space="preserve">CA) with ear bars and a nose piece set at +5.0 mm. A 22-gauge stainless steel guide cannula (C313GSPCXC, Plastics One, Roanoke, VA) was chronically implanted into the third ventricle using the following coordinates from bregma: anterior-posterior; +0.2 mm, dorsal-ventral; −9.0 mm, medial-lateral; 0.0 directly on the midsagittal suture. A mating dummy cannula (C313DC/SPC, Plastics One, Roanoke, VA) was inserted to prevent clogging of the guide cannula. The implant is secured to the skull with dental cement, and the skin is closed over the implant using wound clips. </w:t>
      </w:r>
      <w:r w:rsidRPr="00875AC3">
        <w:rPr>
          <w:rFonts w:ascii="Times New Roman" w:hAnsi="Times New Roman" w:cs="Times New Roman"/>
          <w:color w:val="000000" w:themeColor="text1"/>
        </w:rPr>
        <w:t xml:space="preserve">All surgeries were performed under </w:t>
      </w:r>
      <w:r w:rsidRPr="00875AC3">
        <w:rPr>
          <w:rFonts w:ascii="Times New Roman" w:hAnsi="Times New Roman" w:cs="Times New Roman"/>
          <w:color w:val="000000" w:themeColor="text1"/>
          <w:lang w:val="en"/>
        </w:rPr>
        <w:t xml:space="preserve">anesthesia by intraperitoneal ketamine (Ketaset, 87 mg/kg) and xylazine (Rompun, 11 mg/kg). </w:t>
      </w:r>
      <w:r w:rsidRPr="00875AC3">
        <w:rPr>
          <w:rFonts w:ascii="Times New Roman" w:hAnsi="Times New Roman" w:cs="Times New Roman"/>
          <w:color w:val="000000" w:themeColor="text1"/>
        </w:rPr>
        <w:t>Recovery was monitored until body weight was within 3% of the pre-operative weight (5–6 days). Intravenous infusion of diazoxide or saline was performed as described</w:t>
      </w:r>
      <w:r w:rsidR="00C9522D" w:rsidRPr="00875AC3">
        <w:rPr>
          <w:rFonts w:ascii="Times New Roman" w:hAnsi="Times New Roman" w:cs="Times New Roman"/>
          <w:color w:val="000000" w:themeColor="text1"/>
        </w:rPr>
        <w:t xml:space="preserve"> (2)</w:t>
      </w:r>
      <w:r w:rsidRPr="00875AC3">
        <w:rPr>
          <w:rFonts w:ascii="Times New Roman" w:hAnsi="Times New Roman" w:cs="Times New Roman"/>
          <w:color w:val="000000" w:themeColor="text1"/>
        </w:rPr>
        <w:t xml:space="preserve">. </w:t>
      </w:r>
      <w:r w:rsidRPr="00875AC3">
        <w:rPr>
          <w:rFonts w:ascii="Times New Roman" w:hAnsi="Times New Roman" w:cs="Times New Roman"/>
          <w:color w:val="000000" w:themeColor="text1"/>
          <w:shd w:val="clear" w:color="auto" w:fill="FFFFFF"/>
        </w:rPr>
        <w:t>Following the studies, the established methodology included verification of implantation histologically for each animal, as described (</w:t>
      </w:r>
      <w:r w:rsidR="00C9522D" w:rsidRPr="00875AC3">
        <w:rPr>
          <w:rFonts w:ascii="Times New Roman" w:hAnsi="Times New Roman" w:cs="Times New Roman"/>
          <w:color w:val="000000" w:themeColor="text1"/>
          <w:shd w:val="clear" w:color="auto" w:fill="FFFFFF"/>
        </w:rPr>
        <w:t>2</w:t>
      </w:r>
      <w:r w:rsidRPr="00875AC3">
        <w:rPr>
          <w:rFonts w:ascii="Times New Roman" w:hAnsi="Times New Roman" w:cs="Times New Roman"/>
          <w:color w:val="000000" w:themeColor="text1"/>
          <w:shd w:val="clear" w:color="auto" w:fill="FFFFFF"/>
        </w:rPr>
        <w:t>).</w:t>
      </w:r>
    </w:p>
    <w:p w14:paraId="599FAD37" w14:textId="5762F32F" w:rsidR="00066D33" w:rsidRPr="00875AC3" w:rsidRDefault="00066D33" w:rsidP="00875AC3">
      <w:pPr>
        <w:spacing w:line="480" w:lineRule="auto"/>
        <w:jc w:val="both"/>
        <w:rPr>
          <w:rFonts w:ascii="Times New Roman" w:hAnsi="Times New Roman" w:cs="Times New Roman"/>
          <w:b/>
          <w:color w:val="000000" w:themeColor="text1"/>
        </w:rPr>
      </w:pPr>
      <w:r w:rsidRPr="00875AC3">
        <w:rPr>
          <w:rFonts w:ascii="Times New Roman" w:hAnsi="Times New Roman" w:cs="Times New Roman"/>
          <w:b/>
          <w:color w:val="000000" w:themeColor="text1"/>
        </w:rPr>
        <w:t>Supplementa</w:t>
      </w:r>
      <w:r w:rsidR="00C8119D">
        <w:rPr>
          <w:rFonts w:ascii="Times New Roman" w:hAnsi="Times New Roman" w:cs="Times New Roman"/>
          <w:b/>
          <w:color w:val="000000" w:themeColor="text1"/>
        </w:rPr>
        <w:t>ry</w:t>
      </w:r>
      <w:r w:rsidRPr="00875AC3">
        <w:rPr>
          <w:rFonts w:ascii="Times New Roman" w:hAnsi="Times New Roman" w:cs="Times New Roman"/>
          <w:b/>
          <w:color w:val="000000" w:themeColor="text1"/>
        </w:rPr>
        <w:t xml:space="preserve"> Table </w:t>
      </w:r>
      <w:r w:rsidR="003A3DB7" w:rsidRPr="00875AC3">
        <w:rPr>
          <w:rFonts w:ascii="Times New Roman" w:hAnsi="Times New Roman" w:cs="Times New Roman"/>
          <w:b/>
          <w:color w:val="000000" w:themeColor="text1"/>
        </w:rPr>
        <w:t>1</w:t>
      </w:r>
    </w:p>
    <w:p w14:paraId="5316DCCF" w14:textId="7A2AE103" w:rsidR="00DB5E93" w:rsidRPr="00875AC3" w:rsidRDefault="00DB5E93"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Forward and reverse primer sequences for the gluconeogenic enzymes phosphoenolpyruvate carboxykinase (</w:t>
      </w:r>
      <w:r w:rsidRPr="00875AC3">
        <w:rPr>
          <w:rFonts w:ascii="Times New Roman" w:hAnsi="Times New Roman" w:cs="Times New Roman"/>
          <w:i/>
          <w:color w:val="000000" w:themeColor="text1"/>
        </w:rPr>
        <w:t>Pepck</w:t>
      </w:r>
      <w:r w:rsidRPr="00875AC3">
        <w:rPr>
          <w:rFonts w:ascii="Times New Roman" w:hAnsi="Times New Roman" w:cs="Times New Roman"/>
          <w:color w:val="000000" w:themeColor="text1"/>
        </w:rPr>
        <w:t>), glucose-6-phosphatase (</w:t>
      </w:r>
      <w:r w:rsidRPr="00875AC3">
        <w:rPr>
          <w:rFonts w:ascii="Times New Roman" w:hAnsi="Times New Roman" w:cs="Times New Roman"/>
          <w:i/>
          <w:color w:val="000000" w:themeColor="text1"/>
        </w:rPr>
        <w:t>G6pase</w:t>
      </w:r>
      <w:r w:rsidRPr="00875AC3">
        <w:rPr>
          <w:rFonts w:ascii="Times New Roman" w:hAnsi="Times New Roman" w:cs="Times New Roman"/>
          <w:color w:val="000000" w:themeColor="text1"/>
        </w:rPr>
        <w:t xml:space="preserve">), and </w:t>
      </w:r>
      <w:r w:rsidR="00C8119D">
        <w:rPr>
          <w:rFonts w:ascii="Times New Roman" w:hAnsi="Times New Roman" w:cs="Times New Roman"/>
          <w:color w:val="000000" w:themeColor="text1"/>
        </w:rPr>
        <w:t>five</w:t>
      </w:r>
      <w:r w:rsidRPr="00875AC3">
        <w:rPr>
          <w:rFonts w:ascii="Times New Roman" w:hAnsi="Times New Roman" w:cs="Times New Roman"/>
          <w:color w:val="000000" w:themeColor="text1"/>
        </w:rPr>
        <w:t xml:space="preserve"> housekeeping genes (</w:t>
      </w:r>
      <w:r w:rsidRPr="00875AC3">
        <w:rPr>
          <w:rFonts w:ascii="Times New Roman" w:hAnsi="Times New Roman" w:cs="Times New Roman"/>
          <w:i/>
          <w:color w:val="000000" w:themeColor="text1"/>
        </w:rPr>
        <w:t xml:space="preserve">B2m, Rpl19, Gapdh, </w:t>
      </w:r>
      <w:r w:rsidRPr="00875AC3">
        <w:rPr>
          <w:rFonts w:ascii="Times New Roman" w:hAnsi="Times New Roman" w:cs="Times New Roman"/>
          <w:i/>
          <w:color w:val="000000" w:themeColor="text1"/>
        </w:rPr>
        <w:sym w:font="Symbol" w:char="F062"/>
      </w:r>
      <w:r w:rsidRPr="00875AC3">
        <w:rPr>
          <w:rFonts w:ascii="Times New Roman" w:hAnsi="Times New Roman" w:cs="Times New Roman"/>
          <w:i/>
          <w:color w:val="000000" w:themeColor="text1"/>
        </w:rPr>
        <w:t>actin, 18s</w:t>
      </w:r>
      <w:r w:rsidRPr="00875AC3">
        <w:rPr>
          <w:rFonts w:ascii="Times New Roman" w:hAnsi="Times New Roman" w:cs="Times New Roman"/>
          <w:color w:val="000000" w:themeColor="text1"/>
        </w:rPr>
        <w:t>).</w:t>
      </w:r>
    </w:p>
    <w:p w14:paraId="3531A0EC" w14:textId="77777777" w:rsidR="00E44405" w:rsidRPr="00875AC3" w:rsidRDefault="00E44405" w:rsidP="00875AC3">
      <w:pPr>
        <w:spacing w:line="480" w:lineRule="auto"/>
        <w:jc w:val="both"/>
        <w:rPr>
          <w:rFonts w:ascii="Times New Roman" w:hAnsi="Times New Roman" w:cs="Times New Roman"/>
          <w:bCs/>
          <w:color w:val="000000" w:themeColor="text1"/>
        </w:rPr>
      </w:pPr>
    </w:p>
    <w:tbl>
      <w:tblPr>
        <w:tblStyle w:val="TableGrid"/>
        <w:tblpPr w:leftFromText="180" w:rightFromText="180" w:vertAnchor="text" w:horzAnchor="page" w:tblpX="1549" w:tblpY="-3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3737"/>
        <w:gridCol w:w="3790"/>
      </w:tblGrid>
      <w:tr w:rsidR="00875AC3" w:rsidRPr="00875AC3" w14:paraId="3D66FDDC" w14:textId="77777777" w:rsidTr="00A11A9E">
        <w:trPr>
          <w:trHeight w:val="254"/>
        </w:trPr>
        <w:tc>
          <w:tcPr>
            <w:tcW w:w="2108" w:type="dxa"/>
            <w:tcBorders>
              <w:bottom w:val="single" w:sz="18" w:space="0" w:color="auto"/>
            </w:tcBorders>
          </w:tcPr>
          <w:p w14:paraId="44C17551"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lastRenderedPageBreak/>
              <w:t>Genes</w:t>
            </w:r>
          </w:p>
        </w:tc>
        <w:tc>
          <w:tcPr>
            <w:tcW w:w="3725" w:type="dxa"/>
            <w:tcBorders>
              <w:bottom w:val="single" w:sz="18" w:space="0" w:color="auto"/>
            </w:tcBorders>
          </w:tcPr>
          <w:p w14:paraId="4CBE7FEA"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Forward Sequence</w:t>
            </w:r>
          </w:p>
        </w:tc>
        <w:tc>
          <w:tcPr>
            <w:tcW w:w="3743" w:type="dxa"/>
            <w:tcBorders>
              <w:bottom w:val="single" w:sz="18" w:space="0" w:color="auto"/>
            </w:tcBorders>
          </w:tcPr>
          <w:p w14:paraId="433E0588"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Reverse Sequence</w:t>
            </w:r>
          </w:p>
        </w:tc>
      </w:tr>
      <w:tr w:rsidR="00875AC3" w:rsidRPr="00875AC3" w14:paraId="4E212049" w14:textId="77777777" w:rsidTr="00A11A9E">
        <w:trPr>
          <w:trHeight w:val="254"/>
        </w:trPr>
        <w:tc>
          <w:tcPr>
            <w:tcW w:w="2108" w:type="dxa"/>
            <w:tcBorders>
              <w:top w:val="single" w:sz="18" w:space="0" w:color="auto"/>
              <w:bottom w:val="single" w:sz="2" w:space="0" w:color="auto"/>
            </w:tcBorders>
          </w:tcPr>
          <w:p w14:paraId="3325B764"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 xml:space="preserve">Rat </w:t>
            </w:r>
            <w:r w:rsidRPr="00875AC3">
              <w:rPr>
                <w:rFonts w:ascii="Times New Roman" w:hAnsi="Times New Roman" w:cs="Times New Roman"/>
                <w:i/>
                <w:color w:val="000000" w:themeColor="text1"/>
              </w:rPr>
              <w:t>Pepck</w:t>
            </w:r>
          </w:p>
        </w:tc>
        <w:tc>
          <w:tcPr>
            <w:tcW w:w="3725" w:type="dxa"/>
            <w:tcBorders>
              <w:top w:val="single" w:sz="18" w:space="0" w:color="auto"/>
              <w:bottom w:val="single" w:sz="2" w:space="0" w:color="auto"/>
            </w:tcBorders>
          </w:tcPr>
          <w:p w14:paraId="48F94255"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GGAAAGACAAAAACGGCAAG</w:t>
            </w:r>
          </w:p>
        </w:tc>
        <w:tc>
          <w:tcPr>
            <w:tcW w:w="3743" w:type="dxa"/>
            <w:tcBorders>
              <w:top w:val="single" w:sz="18" w:space="0" w:color="auto"/>
              <w:bottom w:val="single" w:sz="2" w:space="0" w:color="auto"/>
            </w:tcBorders>
          </w:tcPr>
          <w:p w14:paraId="1D7289E7"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ACGTAGCCAATGGGAGTGAG</w:t>
            </w:r>
          </w:p>
        </w:tc>
      </w:tr>
      <w:tr w:rsidR="00875AC3" w:rsidRPr="00875AC3" w14:paraId="1B6946DD" w14:textId="77777777" w:rsidTr="00A11A9E">
        <w:trPr>
          <w:trHeight w:val="254"/>
        </w:trPr>
        <w:tc>
          <w:tcPr>
            <w:tcW w:w="2108" w:type="dxa"/>
            <w:tcBorders>
              <w:top w:val="single" w:sz="2" w:space="0" w:color="auto"/>
              <w:bottom w:val="single" w:sz="2" w:space="0" w:color="auto"/>
            </w:tcBorders>
          </w:tcPr>
          <w:p w14:paraId="67E0614A"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 xml:space="preserve">Rat </w:t>
            </w:r>
            <w:r w:rsidRPr="00875AC3">
              <w:rPr>
                <w:rFonts w:ascii="Times New Roman" w:hAnsi="Times New Roman" w:cs="Times New Roman"/>
                <w:i/>
                <w:color w:val="000000" w:themeColor="text1"/>
              </w:rPr>
              <w:t>G6pase</w:t>
            </w:r>
          </w:p>
        </w:tc>
        <w:tc>
          <w:tcPr>
            <w:tcW w:w="3725" w:type="dxa"/>
            <w:tcBorders>
              <w:top w:val="single" w:sz="2" w:space="0" w:color="auto"/>
              <w:bottom w:val="single" w:sz="2" w:space="0" w:color="auto"/>
            </w:tcBorders>
          </w:tcPr>
          <w:p w14:paraId="26014CBE"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TGCTGCATCTCTTTGACTCG</w:t>
            </w:r>
          </w:p>
        </w:tc>
        <w:tc>
          <w:tcPr>
            <w:tcW w:w="3743" w:type="dxa"/>
            <w:tcBorders>
              <w:top w:val="single" w:sz="2" w:space="0" w:color="auto"/>
              <w:bottom w:val="single" w:sz="2" w:space="0" w:color="auto"/>
            </w:tcBorders>
          </w:tcPr>
          <w:p w14:paraId="1AE9EE57"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TTGTGTGTCTGTCCCAGGAG</w:t>
            </w:r>
          </w:p>
        </w:tc>
      </w:tr>
      <w:tr w:rsidR="00875AC3" w:rsidRPr="00875AC3" w14:paraId="0FC28F43" w14:textId="77777777" w:rsidTr="00A11A9E">
        <w:trPr>
          <w:trHeight w:val="254"/>
        </w:trPr>
        <w:tc>
          <w:tcPr>
            <w:tcW w:w="2108" w:type="dxa"/>
            <w:tcBorders>
              <w:top w:val="single" w:sz="2" w:space="0" w:color="auto"/>
              <w:bottom w:val="single" w:sz="2" w:space="0" w:color="auto"/>
            </w:tcBorders>
          </w:tcPr>
          <w:p w14:paraId="30D05C29"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 xml:space="preserve">Rat </w:t>
            </w:r>
            <w:r w:rsidRPr="00875AC3">
              <w:rPr>
                <w:rFonts w:ascii="Times New Roman" w:hAnsi="Times New Roman" w:cs="Times New Roman"/>
                <w:i/>
                <w:color w:val="000000" w:themeColor="text1"/>
              </w:rPr>
              <w:t>B2m</w:t>
            </w:r>
          </w:p>
        </w:tc>
        <w:tc>
          <w:tcPr>
            <w:tcW w:w="3725" w:type="dxa"/>
            <w:tcBorders>
              <w:top w:val="single" w:sz="2" w:space="0" w:color="auto"/>
              <w:bottom w:val="single" w:sz="2" w:space="0" w:color="auto"/>
            </w:tcBorders>
          </w:tcPr>
          <w:p w14:paraId="446C5C7F"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CTGCTACGTGTCTCAGTTCCAC</w:t>
            </w:r>
          </w:p>
        </w:tc>
        <w:tc>
          <w:tcPr>
            <w:tcW w:w="3743" w:type="dxa"/>
            <w:tcBorders>
              <w:top w:val="single" w:sz="2" w:space="0" w:color="auto"/>
              <w:bottom w:val="single" w:sz="2" w:space="0" w:color="auto"/>
            </w:tcBorders>
          </w:tcPr>
          <w:p w14:paraId="0C25588B"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TGCAAGCATATACATCGGTCTC</w:t>
            </w:r>
          </w:p>
        </w:tc>
      </w:tr>
      <w:tr w:rsidR="00875AC3" w:rsidRPr="00875AC3" w14:paraId="5B679742" w14:textId="77777777" w:rsidTr="00A11A9E">
        <w:trPr>
          <w:trHeight w:val="254"/>
        </w:trPr>
        <w:tc>
          <w:tcPr>
            <w:tcW w:w="2108" w:type="dxa"/>
            <w:tcBorders>
              <w:top w:val="single" w:sz="2" w:space="0" w:color="auto"/>
              <w:bottom w:val="single" w:sz="2" w:space="0" w:color="auto"/>
            </w:tcBorders>
          </w:tcPr>
          <w:p w14:paraId="35FEAABF"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 xml:space="preserve">Rat </w:t>
            </w:r>
            <w:r w:rsidRPr="00875AC3">
              <w:rPr>
                <w:rFonts w:ascii="Times New Roman" w:hAnsi="Times New Roman" w:cs="Times New Roman"/>
                <w:i/>
                <w:color w:val="000000" w:themeColor="text1"/>
              </w:rPr>
              <w:t>Rpl19</w:t>
            </w:r>
          </w:p>
        </w:tc>
        <w:tc>
          <w:tcPr>
            <w:tcW w:w="3725" w:type="dxa"/>
            <w:tcBorders>
              <w:top w:val="single" w:sz="2" w:space="0" w:color="auto"/>
              <w:bottom w:val="single" w:sz="2" w:space="0" w:color="auto"/>
            </w:tcBorders>
          </w:tcPr>
          <w:p w14:paraId="05E93E14"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GACCTGGATGCGAAGGATGA</w:t>
            </w:r>
          </w:p>
        </w:tc>
        <w:tc>
          <w:tcPr>
            <w:tcW w:w="3743" w:type="dxa"/>
            <w:tcBorders>
              <w:top w:val="single" w:sz="2" w:space="0" w:color="auto"/>
              <w:bottom w:val="single" w:sz="2" w:space="0" w:color="auto"/>
            </w:tcBorders>
          </w:tcPr>
          <w:p w14:paraId="5FFF2CD3"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CCATGAGAATCCGCTTGTTT</w:t>
            </w:r>
          </w:p>
        </w:tc>
      </w:tr>
      <w:tr w:rsidR="00875AC3" w:rsidRPr="00875AC3" w14:paraId="01EF76C8" w14:textId="77777777" w:rsidTr="00A11A9E">
        <w:trPr>
          <w:trHeight w:val="254"/>
        </w:trPr>
        <w:tc>
          <w:tcPr>
            <w:tcW w:w="2108" w:type="dxa"/>
            <w:tcBorders>
              <w:top w:val="single" w:sz="2" w:space="0" w:color="auto"/>
              <w:bottom w:val="single" w:sz="2" w:space="0" w:color="auto"/>
            </w:tcBorders>
          </w:tcPr>
          <w:p w14:paraId="30229B70"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 xml:space="preserve">Rat </w:t>
            </w:r>
            <w:r w:rsidRPr="00875AC3">
              <w:rPr>
                <w:rFonts w:ascii="Times New Roman" w:hAnsi="Times New Roman" w:cs="Times New Roman"/>
                <w:i/>
                <w:color w:val="000000" w:themeColor="text1"/>
              </w:rPr>
              <w:t>Gapdh</w:t>
            </w:r>
          </w:p>
        </w:tc>
        <w:tc>
          <w:tcPr>
            <w:tcW w:w="3725" w:type="dxa"/>
            <w:tcBorders>
              <w:top w:val="single" w:sz="2" w:space="0" w:color="auto"/>
              <w:bottom w:val="single" w:sz="2" w:space="0" w:color="auto"/>
            </w:tcBorders>
          </w:tcPr>
          <w:p w14:paraId="3AB1F712"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AAACCCATCACCATCTTCCA</w:t>
            </w:r>
          </w:p>
        </w:tc>
        <w:tc>
          <w:tcPr>
            <w:tcW w:w="3743" w:type="dxa"/>
            <w:tcBorders>
              <w:top w:val="single" w:sz="2" w:space="0" w:color="auto"/>
              <w:bottom w:val="single" w:sz="2" w:space="0" w:color="auto"/>
            </w:tcBorders>
          </w:tcPr>
          <w:p w14:paraId="58605025"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GTGGTTCACACCCATCACAA</w:t>
            </w:r>
          </w:p>
        </w:tc>
      </w:tr>
      <w:tr w:rsidR="00875AC3" w:rsidRPr="00875AC3" w14:paraId="22065228" w14:textId="77777777" w:rsidTr="00A11A9E">
        <w:trPr>
          <w:trHeight w:val="254"/>
        </w:trPr>
        <w:tc>
          <w:tcPr>
            <w:tcW w:w="2108" w:type="dxa"/>
            <w:tcBorders>
              <w:top w:val="single" w:sz="2" w:space="0" w:color="auto"/>
              <w:bottom w:val="single" w:sz="2" w:space="0" w:color="auto"/>
            </w:tcBorders>
          </w:tcPr>
          <w:p w14:paraId="5AAC9A3E"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 xml:space="preserve">Rat </w:t>
            </w:r>
            <w:r w:rsidRPr="00875AC3">
              <w:rPr>
                <w:rFonts w:ascii="Times New Roman" w:hAnsi="Times New Roman" w:cs="Times New Roman"/>
                <w:i/>
                <w:color w:val="000000" w:themeColor="text1"/>
              </w:rPr>
              <w:sym w:font="Symbol" w:char="F062"/>
            </w:r>
            <w:r w:rsidRPr="00875AC3">
              <w:rPr>
                <w:rFonts w:ascii="Times New Roman" w:hAnsi="Times New Roman" w:cs="Times New Roman"/>
                <w:i/>
                <w:color w:val="000000" w:themeColor="text1"/>
              </w:rPr>
              <w:t>actin</w:t>
            </w:r>
          </w:p>
        </w:tc>
        <w:tc>
          <w:tcPr>
            <w:tcW w:w="3725" w:type="dxa"/>
            <w:tcBorders>
              <w:top w:val="single" w:sz="2" w:space="0" w:color="auto"/>
              <w:bottom w:val="single" w:sz="2" w:space="0" w:color="auto"/>
            </w:tcBorders>
          </w:tcPr>
          <w:p w14:paraId="2AA61039"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GCTACAGCTTCACCACCACA</w:t>
            </w:r>
          </w:p>
        </w:tc>
        <w:tc>
          <w:tcPr>
            <w:tcW w:w="3743" w:type="dxa"/>
            <w:tcBorders>
              <w:top w:val="single" w:sz="2" w:space="0" w:color="auto"/>
              <w:bottom w:val="single" w:sz="2" w:space="0" w:color="auto"/>
            </w:tcBorders>
          </w:tcPr>
          <w:p w14:paraId="3FC92111"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AGGAAGGAAGGCTGGAAGAG</w:t>
            </w:r>
          </w:p>
        </w:tc>
      </w:tr>
      <w:tr w:rsidR="00875AC3" w:rsidRPr="00875AC3" w14:paraId="688476F0" w14:textId="77777777" w:rsidTr="00A11A9E">
        <w:trPr>
          <w:trHeight w:val="254"/>
        </w:trPr>
        <w:tc>
          <w:tcPr>
            <w:tcW w:w="2108" w:type="dxa"/>
            <w:tcBorders>
              <w:top w:val="single" w:sz="2" w:space="0" w:color="auto"/>
              <w:bottom w:val="single" w:sz="18" w:space="0" w:color="auto"/>
            </w:tcBorders>
          </w:tcPr>
          <w:p w14:paraId="678A9F39"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 xml:space="preserve">Rat </w:t>
            </w:r>
            <w:r w:rsidRPr="00875AC3">
              <w:rPr>
                <w:rFonts w:ascii="Times New Roman" w:hAnsi="Times New Roman" w:cs="Times New Roman"/>
                <w:i/>
                <w:color w:val="000000" w:themeColor="text1"/>
              </w:rPr>
              <w:t>18s</w:t>
            </w:r>
          </w:p>
        </w:tc>
        <w:tc>
          <w:tcPr>
            <w:tcW w:w="3725" w:type="dxa"/>
            <w:tcBorders>
              <w:top w:val="single" w:sz="2" w:space="0" w:color="auto"/>
              <w:bottom w:val="single" w:sz="18" w:space="0" w:color="auto"/>
            </w:tcBorders>
          </w:tcPr>
          <w:p w14:paraId="4C0B2D9D"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AGGGTTCGATTCCGGAGAGG</w:t>
            </w:r>
          </w:p>
        </w:tc>
        <w:tc>
          <w:tcPr>
            <w:tcW w:w="3743" w:type="dxa"/>
            <w:tcBorders>
              <w:top w:val="single" w:sz="2" w:space="0" w:color="auto"/>
              <w:bottom w:val="single" w:sz="18" w:space="0" w:color="auto"/>
            </w:tcBorders>
          </w:tcPr>
          <w:p w14:paraId="63E1CD0E" w14:textId="77777777" w:rsidR="00A11A9E" w:rsidRPr="00875AC3" w:rsidRDefault="00A11A9E"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CAACTTTAATATACGCTATTGG</w:t>
            </w:r>
          </w:p>
        </w:tc>
      </w:tr>
      <w:tr w:rsidR="00875AC3" w:rsidRPr="00875AC3" w14:paraId="22BD10E3" w14:textId="77777777" w:rsidTr="00A11A9E">
        <w:tblPrEx>
          <w:tblBorders>
            <w:top w:val="single" w:sz="18" w:space="0" w:color="auto"/>
          </w:tblBorders>
          <w:tblLook w:val="0000" w:firstRow="0" w:lastRow="0" w:firstColumn="0" w:lastColumn="0" w:noHBand="0" w:noVBand="0"/>
        </w:tblPrEx>
        <w:trPr>
          <w:trHeight w:val="100"/>
        </w:trPr>
        <w:tc>
          <w:tcPr>
            <w:tcW w:w="9576" w:type="dxa"/>
            <w:gridSpan w:val="3"/>
            <w:tcBorders>
              <w:top w:val="single" w:sz="18" w:space="0" w:color="auto"/>
            </w:tcBorders>
          </w:tcPr>
          <w:p w14:paraId="3CD3C1C2" w14:textId="77777777" w:rsidR="00A11A9E" w:rsidRPr="00875AC3" w:rsidRDefault="00A11A9E" w:rsidP="00875AC3">
            <w:pPr>
              <w:spacing w:line="480" w:lineRule="auto"/>
              <w:jc w:val="both"/>
              <w:rPr>
                <w:rFonts w:ascii="Times New Roman" w:hAnsi="Times New Roman" w:cs="Times New Roman"/>
                <w:color w:val="000000" w:themeColor="text1"/>
              </w:rPr>
            </w:pPr>
          </w:p>
        </w:tc>
      </w:tr>
    </w:tbl>
    <w:p w14:paraId="02D05241" w14:textId="77777777" w:rsidR="00E44405" w:rsidRPr="00875AC3" w:rsidRDefault="00E44405">
      <w:pPr>
        <w:spacing w:line="480" w:lineRule="auto"/>
        <w:jc w:val="both"/>
        <w:rPr>
          <w:rFonts w:ascii="Times New Roman" w:hAnsi="Times New Roman" w:cs="Times New Roman"/>
          <w:bCs/>
          <w:color w:val="000000" w:themeColor="text1"/>
        </w:rPr>
      </w:pPr>
    </w:p>
    <w:p w14:paraId="79901693" w14:textId="77777777" w:rsidR="00E44405" w:rsidRPr="00875AC3" w:rsidRDefault="00E44405" w:rsidP="00875AC3">
      <w:pPr>
        <w:spacing w:line="480" w:lineRule="auto"/>
        <w:jc w:val="both"/>
        <w:rPr>
          <w:rFonts w:ascii="Times New Roman" w:hAnsi="Times New Roman" w:cs="Times New Roman"/>
          <w:bCs/>
          <w:color w:val="000000" w:themeColor="text1"/>
        </w:rPr>
      </w:pPr>
      <w:bookmarkStart w:id="0" w:name="_GoBack"/>
      <w:bookmarkEnd w:id="0"/>
    </w:p>
    <w:p w14:paraId="78FEE370" w14:textId="54FD5A0C" w:rsidR="003A3DB7" w:rsidRPr="00875AC3" w:rsidRDefault="007D787F">
      <w:pPr>
        <w:spacing w:line="480" w:lineRule="auto"/>
        <w:jc w:val="both"/>
        <w:rPr>
          <w:rFonts w:ascii="Times New Roman" w:hAnsi="Times New Roman" w:cs="Times New Roman"/>
          <w:b/>
          <w:color w:val="000000" w:themeColor="text1"/>
        </w:rPr>
      </w:pPr>
      <w:r w:rsidRPr="00875AC3">
        <w:rPr>
          <w:rFonts w:ascii="Times New Roman" w:hAnsi="Times New Roman" w:cs="Times New Roman"/>
          <w:b/>
          <w:bCs/>
          <w:color w:val="000000" w:themeColor="text1"/>
        </w:rPr>
        <w:t>REFERENCES</w:t>
      </w:r>
    </w:p>
    <w:p w14:paraId="7F82C72E" w14:textId="7DF2C30E" w:rsidR="003A3DB7" w:rsidRPr="00875AC3" w:rsidRDefault="003A3DB7"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rPr>
        <w:t xml:space="preserve">1. Pocai, A., Obici, S., Schwartz, G.J., and Rossetti, L. 2005. A brain-liver circuit regulates glucose homeostasis. Cell Metabolism 1:53-61. </w:t>
      </w:r>
    </w:p>
    <w:p w14:paraId="5D71B7BB" w14:textId="77777777" w:rsidR="0027560D" w:rsidRPr="00875AC3" w:rsidRDefault="003A3DB7"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shd w:val="clear" w:color="auto" w:fill="FFFFFF"/>
        </w:rPr>
        <w:t>2. Preeti Kishore, Laura Boucai, Kehao Zhang, Weijie Li, Sudha Koppaka, Sylvia Kehlenbrink, Anna Schiwek, Yonah B. Esterson, Deeksha Mehta, Samar Bursheh, Ya Su, Roger Gutierrez-Juarez, Radhika Muzumdar, Gary J. Schwartz, Meredith Hawkins</w:t>
      </w:r>
      <w:r w:rsidRPr="00875AC3">
        <w:rPr>
          <w:rFonts w:ascii="Times New Roman" w:hAnsi="Times New Roman" w:cs="Times New Roman"/>
          <w:color w:val="000000" w:themeColor="text1"/>
        </w:rPr>
        <w:t>. Activation of K(ATP)</w:t>
      </w:r>
      <w:r w:rsidR="0027560D" w:rsidRPr="00875AC3">
        <w:rPr>
          <w:rFonts w:ascii="Times New Roman" w:hAnsi="Times New Roman" w:cs="Times New Roman"/>
          <w:color w:val="000000" w:themeColor="text1"/>
        </w:rPr>
        <w:t>.</w:t>
      </w:r>
    </w:p>
    <w:p w14:paraId="0919F296" w14:textId="77777777" w:rsidR="0027560D" w:rsidRPr="00875AC3" w:rsidRDefault="0027560D"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iCs/>
          <w:color w:val="000000" w:themeColor="text1"/>
          <w:lang w:val="en"/>
        </w:rPr>
        <w:t xml:space="preserve">3. Rossetti L, Smith D, Shulman DI, Papachristou D, DeFronzo RA: Correction of hyperglycemia with phlorizin normalizes tissue sensitivity to insulin in diabetic rats. </w:t>
      </w:r>
      <w:r w:rsidRPr="00875AC3">
        <w:rPr>
          <w:rFonts w:ascii="Times New Roman" w:hAnsi="Times New Roman" w:cs="Times New Roman"/>
          <w:color w:val="000000" w:themeColor="text1"/>
          <w:lang w:val="en"/>
        </w:rPr>
        <w:t>J Clin Invest</w:t>
      </w:r>
      <w:r w:rsidRPr="00875AC3">
        <w:rPr>
          <w:rFonts w:ascii="Times New Roman" w:hAnsi="Times New Roman" w:cs="Times New Roman"/>
          <w:iCs/>
          <w:color w:val="000000" w:themeColor="text1"/>
          <w:lang w:val="en"/>
        </w:rPr>
        <w:t xml:space="preserve"> </w:t>
      </w:r>
      <w:r w:rsidRPr="00875AC3">
        <w:rPr>
          <w:rFonts w:ascii="Times New Roman" w:hAnsi="Times New Roman" w:cs="Times New Roman"/>
          <w:color w:val="000000" w:themeColor="text1"/>
          <w:lang w:val="en"/>
        </w:rPr>
        <w:t>79</w:t>
      </w:r>
      <w:r w:rsidRPr="00875AC3">
        <w:rPr>
          <w:rFonts w:ascii="Times New Roman" w:hAnsi="Times New Roman" w:cs="Times New Roman"/>
          <w:iCs/>
          <w:color w:val="000000" w:themeColor="text1"/>
          <w:lang w:val="en"/>
        </w:rPr>
        <w:t>:</w:t>
      </w:r>
      <w:r w:rsidRPr="00875AC3">
        <w:rPr>
          <w:rFonts w:ascii="Times New Roman" w:hAnsi="Times New Roman" w:cs="Times New Roman"/>
          <w:color w:val="000000" w:themeColor="text1"/>
          <w:lang w:val="en"/>
        </w:rPr>
        <w:t>1510</w:t>
      </w:r>
      <w:r w:rsidRPr="00875AC3">
        <w:rPr>
          <w:rFonts w:ascii="Times New Roman" w:hAnsi="Times New Roman" w:cs="Times New Roman"/>
          <w:iCs/>
          <w:color w:val="000000" w:themeColor="text1"/>
          <w:lang w:val="en"/>
        </w:rPr>
        <w:t xml:space="preserve">–1515, </w:t>
      </w:r>
      <w:r w:rsidRPr="00875AC3">
        <w:rPr>
          <w:rFonts w:ascii="Times New Roman" w:hAnsi="Times New Roman" w:cs="Times New Roman"/>
          <w:color w:val="000000" w:themeColor="text1"/>
          <w:lang w:val="en"/>
        </w:rPr>
        <w:t>1987</w:t>
      </w:r>
      <w:r w:rsidRPr="00875AC3">
        <w:rPr>
          <w:rFonts w:ascii="Times New Roman" w:hAnsi="Times New Roman" w:cs="Times New Roman"/>
          <w:color w:val="000000" w:themeColor="text1"/>
        </w:rPr>
        <w:t>.</w:t>
      </w:r>
    </w:p>
    <w:p w14:paraId="7160BF86" w14:textId="5B66485B" w:rsidR="0027560D" w:rsidRPr="00875AC3" w:rsidRDefault="0027560D"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lang w:val="en"/>
        </w:rPr>
        <w:t>4. Silvana Obici</w:t>
      </w:r>
      <w:r w:rsidRPr="00875AC3">
        <w:rPr>
          <w:rFonts w:ascii="Times New Roman" w:hAnsi="Times New Roman" w:cs="Times New Roman"/>
          <w:bCs/>
          <w:color w:val="000000" w:themeColor="text1"/>
          <w:lang w:val="en"/>
        </w:rPr>
        <w:t>, </w:t>
      </w:r>
      <w:r w:rsidRPr="00875AC3">
        <w:rPr>
          <w:rFonts w:ascii="Times New Roman" w:hAnsi="Times New Roman" w:cs="Times New Roman"/>
          <w:color w:val="000000" w:themeColor="text1"/>
          <w:lang w:val="en"/>
        </w:rPr>
        <w:t>Zhaohui Feng</w:t>
      </w:r>
      <w:r w:rsidRPr="00875AC3">
        <w:rPr>
          <w:rFonts w:ascii="Times New Roman" w:hAnsi="Times New Roman" w:cs="Times New Roman"/>
          <w:bCs/>
          <w:color w:val="000000" w:themeColor="text1"/>
          <w:lang w:val="en"/>
        </w:rPr>
        <w:t>, </w:t>
      </w:r>
      <w:r w:rsidRPr="00875AC3">
        <w:rPr>
          <w:rFonts w:ascii="Times New Roman" w:hAnsi="Times New Roman" w:cs="Times New Roman"/>
          <w:color w:val="000000" w:themeColor="text1"/>
          <w:lang w:val="en"/>
        </w:rPr>
        <w:t>Kimyata Morgan</w:t>
      </w:r>
      <w:r w:rsidRPr="00875AC3">
        <w:rPr>
          <w:rFonts w:ascii="Times New Roman" w:hAnsi="Times New Roman" w:cs="Times New Roman"/>
          <w:bCs/>
          <w:color w:val="000000" w:themeColor="text1"/>
          <w:lang w:val="en"/>
        </w:rPr>
        <w:t>, </w:t>
      </w:r>
      <w:r w:rsidRPr="00875AC3">
        <w:rPr>
          <w:rFonts w:ascii="Times New Roman" w:hAnsi="Times New Roman" w:cs="Times New Roman"/>
          <w:color w:val="000000" w:themeColor="text1"/>
          <w:lang w:val="en"/>
        </w:rPr>
        <w:t>Daniel Stein</w:t>
      </w:r>
      <w:r w:rsidRPr="00875AC3">
        <w:rPr>
          <w:rFonts w:ascii="Times New Roman" w:hAnsi="Times New Roman" w:cs="Times New Roman"/>
          <w:bCs/>
          <w:color w:val="000000" w:themeColor="text1"/>
          <w:lang w:val="en"/>
        </w:rPr>
        <w:t>, </w:t>
      </w:r>
      <w:r w:rsidRPr="00875AC3">
        <w:rPr>
          <w:rFonts w:ascii="Times New Roman" w:hAnsi="Times New Roman" w:cs="Times New Roman"/>
          <w:color w:val="000000" w:themeColor="text1"/>
          <w:lang w:val="en"/>
        </w:rPr>
        <w:t>George Karkanias</w:t>
      </w:r>
      <w:r w:rsidRPr="00875AC3">
        <w:rPr>
          <w:rFonts w:ascii="Times New Roman" w:hAnsi="Times New Roman" w:cs="Times New Roman"/>
          <w:bCs/>
          <w:color w:val="000000" w:themeColor="text1"/>
          <w:lang w:val="en"/>
        </w:rPr>
        <w:t>, </w:t>
      </w:r>
      <w:r w:rsidRPr="00875AC3">
        <w:rPr>
          <w:rFonts w:ascii="Times New Roman" w:hAnsi="Times New Roman" w:cs="Times New Roman"/>
          <w:color w:val="000000" w:themeColor="text1"/>
          <w:lang w:val="en"/>
        </w:rPr>
        <w:t>Luciano Rossetti</w:t>
      </w:r>
      <w:r w:rsidRPr="00875AC3">
        <w:rPr>
          <w:rFonts w:ascii="Times New Roman" w:hAnsi="Times New Roman" w:cs="Times New Roman"/>
          <w:bCs/>
          <w:color w:val="000000" w:themeColor="text1"/>
          <w:lang w:val="en"/>
        </w:rPr>
        <w:t> </w:t>
      </w:r>
      <w:r w:rsidRPr="00875AC3">
        <w:rPr>
          <w:rFonts w:ascii="Times New Roman" w:hAnsi="Times New Roman" w:cs="Times New Roman"/>
          <w:color w:val="000000" w:themeColor="text1"/>
          <w:lang w:val="en"/>
        </w:rPr>
        <w:t>Central Administration of Oleic Acid Inhibits Glucose Production and Food Intake. </w:t>
      </w:r>
      <w:hyperlink r:id="rId6" w:tgtFrame="_blank" w:tooltip="Original URL: https://www.ncbi.nlm.nih.gov/pubmed/11812732. Click or tap if you trust this link." w:history="1">
        <w:r w:rsidRPr="00875AC3">
          <w:rPr>
            <w:rStyle w:val="Hyperlink"/>
            <w:rFonts w:ascii="Times New Roman" w:hAnsi="Times New Roman" w:cs="Times New Roman"/>
            <w:color w:val="000000" w:themeColor="text1"/>
            <w:u w:val="none"/>
            <w:lang w:val="en"/>
          </w:rPr>
          <w:t>Diabetes</w:t>
        </w:r>
      </w:hyperlink>
      <w:r w:rsidRPr="00875AC3">
        <w:rPr>
          <w:rFonts w:ascii="Times New Roman" w:hAnsi="Times New Roman" w:cs="Times New Roman"/>
          <w:color w:val="000000" w:themeColor="text1"/>
          <w:lang w:val="en"/>
        </w:rPr>
        <w:t> 51(2):271-5, 2002.</w:t>
      </w:r>
    </w:p>
    <w:p w14:paraId="3771E0CE" w14:textId="77777777" w:rsidR="0027560D" w:rsidRPr="00875AC3" w:rsidRDefault="0027560D"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lang w:val="de-DE"/>
        </w:rPr>
        <w:t xml:space="preserve">5. Muzumdar R, Ma X, Yang X, Atzmon G, Bernstein J, et al. </w:t>
      </w:r>
      <w:r w:rsidRPr="00875AC3">
        <w:rPr>
          <w:rFonts w:ascii="Times New Roman" w:hAnsi="Times New Roman" w:cs="Times New Roman"/>
          <w:color w:val="000000" w:themeColor="text1"/>
        </w:rPr>
        <w:t xml:space="preserve">(2003) Physiologic effect of leptin on insulin secretion is mediated mainly through central mechanisms. </w:t>
      </w:r>
      <w:r w:rsidRPr="00875AC3">
        <w:rPr>
          <w:rFonts w:ascii="Times New Roman" w:hAnsi="Times New Roman" w:cs="Times New Roman"/>
          <w:color w:val="000000" w:themeColor="text1"/>
          <w:lang w:val="de-DE"/>
        </w:rPr>
        <w:t>Faseb J 17: 1130–1132.</w:t>
      </w:r>
    </w:p>
    <w:p w14:paraId="712518E3" w14:textId="77777777" w:rsidR="0027560D" w:rsidRPr="00875AC3" w:rsidRDefault="0027560D" w:rsidP="00875AC3">
      <w:pPr>
        <w:spacing w:line="480" w:lineRule="auto"/>
        <w:jc w:val="both"/>
        <w:rPr>
          <w:rFonts w:ascii="Times New Roman" w:hAnsi="Times New Roman" w:cs="Times New Roman"/>
          <w:color w:val="000000" w:themeColor="text1"/>
        </w:rPr>
      </w:pPr>
      <w:r w:rsidRPr="00875AC3">
        <w:rPr>
          <w:rFonts w:ascii="Times New Roman" w:hAnsi="Times New Roman" w:cs="Times New Roman"/>
          <w:color w:val="000000" w:themeColor="text1"/>
          <w:lang w:val="de-DE"/>
        </w:rPr>
        <w:lastRenderedPageBreak/>
        <w:t xml:space="preserve">6. Liu L, Karkanias GB, Morales JC, Hawkins M, Barzilai N, et al. </w:t>
      </w:r>
      <w:r w:rsidRPr="00875AC3">
        <w:rPr>
          <w:rFonts w:ascii="Times New Roman" w:hAnsi="Times New Roman" w:cs="Times New Roman"/>
          <w:color w:val="000000" w:themeColor="text1"/>
        </w:rPr>
        <w:t>(1998) Intracerebroventricular leptin regulates hepatic but not peripheral glucose fluxes. J Biol Chem 273: 31160–31167.</w:t>
      </w:r>
    </w:p>
    <w:p w14:paraId="3A0CA641" w14:textId="77777777" w:rsidR="0027560D" w:rsidRPr="00875AC3" w:rsidRDefault="0027560D" w:rsidP="00875AC3">
      <w:pPr>
        <w:spacing w:line="480" w:lineRule="auto"/>
        <w:jc w:val="both"/>
        <w:rPr>
          <w:rFonts w:ascii="Times New Roman" w:hAnsi="Times New Roman" w:cs="Times New Roman"/>
          <w:color w:val="000000" w:themeColor="text1"/>
        </w:rPr>
      </w:pPr>
    </w:p>
    <w:p w14:paraId="7B7FA914" w14:textId="77777777" w:rsidR="00614F1F" w:rsidRPr="00875AC3" w:rsidRDefault="00614F1F" w:rsidP="00875AC3">
      <w:pPr>
        <w:spacing w:line="480" w:lineRule="auto"/>
        <w:jc w:val="both"/>
        <w:rPr>
          <w:rFonts w:ascii="Times New Roman" w:hAnsi="Times New Roman" w:cs="Times New Roman"/>
          <w:color w:val="000000" w:themeColor="text1"/>
        </w:rPr>
      </w:pPr>
    </w:p>
    <w:p w14:paraId="585E8861" w14:textId="67DFAF55" w:rsidR="005F11EB" w:rsidRPr="00875AC3" w:rsidRDefault="005F11EB" w:rsidP="00875AC3">
      <w:pPr>
        <w:spacing w:line="480" w:lineRule="auto"/>
        <w:jc w:val="both"/>
        <w:rPr>
          <w:rFonts w:ascii="Times New Roman" w:hAnsi="Times New Roman" w:cs="Times New Roman"/>
          <w:color w:val="000000" w:themeColor="text1"/>
        </w:rPr>
      </w:pPr>
    </w:p>
    <w:sectPr w:rsidR="005F11EB" w:rsidRPr="00875AC3" w:rsidSect="00404EA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52F9"/>
    <w:multiLevelType w:val="hybridMultilevel"/>
    <w:tmpl w:val="43F0C954"/>
    <w:lvl w:ilvl="0" w:tplc="CC8EE9E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0452D"/>
    <w:multiLevelType w:val="hybridMultilevel"/>
    <w:tmpl w:val="1D4664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65CA2"/>
    <w:multiLevelType w:val="hybridMultilevel"/>
    <w:tmpl w:val="599E7A34"/>
    <w:lvl w:ilvl="0" w:tplc="9CA0507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3MrI0NTUzMzU0NDJQ0lEKTi0uzszPAykwrAUABVHT7iwAAAA="/>
  </w:docVars>
  <w:rsids>
    <w:rsidRoot w:val="007A2B89"/>
    <w:rsid w:val="00006948"/>
    <w:rsid w:val="0000761E"/>
    <w:rsid w:val="00024B98"/>
    <w:rsid w:val="000648BF"/>
    <w:rsid w:val="00066D33"/>
    <w:rsid w:val="00082461"/>
    <w:rsid w:val="000A33EE"/>
    <w:rsid w:val="000D2317"/>
    <w:rsid w:val="000E174B"/>
    <w:rsid w:val="000F4A2C"/>
    <w:rsid w:val="000F6381"/>
    <w:rsid w:val="00104436"/>
    <w:rsid w:val="00123887"/>
    <w:rsid w:val="001258BE"/>
    <w:rsid w:val="00152E4E"/>
    <w:rsid w:val="001638CB"/>
    <w:rsid w:val="00172876"/>
    <w:rsid w:val="00194D01"/>
    <w:rsid w:val="001A2704"/>
    <w:rsid w:val="001A595E"/>
    <w:rsid w:val="001A6FCB"/>
    <w:rsid w:val="001D4AF4"/>
    <w:rsid w:val="001F335E"/>
    <w:rsid w:val="00230B8F"/>
    <w:rsid w:val="0023366C"/>
    <w:rsid w:val="00260CD0"/>
    <w:rsid w:val="002669C4"/>
    <w:rsid w:val="002703B7"/>
    <w:rsid w:val="0027560D"/>
    <w:rsid w:val="00277B98"/>
    <w:rsid w:val="00280B1D"/>
    <w:rsid w:val="003123CE"/>
    <w:rsid w:val="003138AA"/>
    <w:rsid w:val="00317562"/>
    <w:rsid w:val="00317CC4"/>
    <w:rsid w:val="00322806"/>
    <w:rsid w:val="00334D7C"/>
    <w:rsid w:val="0035185F"/>
    <w:rsid w:val="00372C82"/>
    <w:rsid w:val="003A06D4"/>
    <w:rsid w:val="003A3DB7"/>
    <w:rsid w:val="003D0B42"/>
    <w:rsid w:val="003E114D"/>
    <w:rsid w:val="00401F42"/>
    <w:rsid w:val="00404EA8"/>
    <w:rsid w:val="0041296C"/>
    <w:rsid w:val="00414957"/>
    <w:rsid w:val="004155B0"/>
    <w:rsid w:val="004179EF"/>
    <w:rsid w:val="00464BB9"/>
    <w:rsid w:val="00475C23"/>
    <w:rsid w:val="004E3626"/>
    <w:rsid w:val="004F34C5"/>
    <w:rsid w:val="005013FE"/>
    <w:rsid w:val="0050708C"/>
    <w:rsid w:val="00510F77"/>
    <w:rsid w:val="00545D75"/>
    <w:rsid w:val="00563D8D"/>
    <w:rsid w:val="00584D2C"/>
    <w:rsid w:val="005C2D09"/>
    <w:rsid w:val="005F11EB"/>
    <w:rsid w:val="005F2F24"/>
    <w:rsid w:val="00614475"/>
    <w:rsid w:val="00614F1F"/>
    <w:rsid w:val="006166FB"/>
    <w:rsid w:val="00634268"/>
    <w:rsid w:val="00640FD2"/>
    <w:rsid w:val="006B01B0"/>
    <w:rsid w:val="006B2D81"/>
    <w:rsid w:val="006D12AE"/>
    <w:rsid w:val="00721002"/>
    <w:rsid w:val="00755E50"/>
    <w:rsid w:val="0076788B"/>
    <w:rsid w:val="00777D35"/>
    <w:rsid w:val="00782595"/>
    <w:rsid w:val="007A1331"/>
    <w:rsid w:val="007A2B89"/>
    <w:rsid w:val="007D0EAF"/>
    <w:rsid w:val="007D4F9C"/>
    <w:rsid w:val="007D5DD4"/>
    <w:rsid w:val="007D787F"/>
    <w:rsid w:val="007E0EE9"/>
    <w:rsid w:val="008009CD"/>
    <w:rsid w:val="0082061B"/>
    <w:rsid w:val="0084592E"/>
    <w:rsid w:val="008516E4"/>
    <w:rsid w:val="00856F4F"/>
    <w:rsid w:val="00857CA4"/>
    <w:rsid w:val="00875AC3"/>
    <w:rsid w:val="008A4575"/>
    <w:rsid w:val="008A45BD"/>
    <w:rsid w:val="008B6EC1"/>
    <w:rsid w:val="008F16BD"/>
    <w:rsid w:val="008F1C86"/>
    <w:rsid w:val="008F44F7"/>
    <w:rsid w:val="008F631F"/>
    <w:rsid w:val="00901050"/>
    <w:rsid w:val="00905E48"/>
    <w:rsid w:val="0092144B"/>
    <w:rsid w:val="00932A73"/>
    <w:rsid w:val="009340B9"/>
    <w:rsid w:val="00936450"/>
    <w:rsid w:val="00970031"/>
    <w:rsid w:val="00971843"/>
    <w:rsid w:val="0099040B"/>
    <w:rsid w:val="00992941"/>
    <w:rsid w:val="00992B1A"/>
    <w:rsid w:val="009A57F2"/>
    <w:rsid w:val="009E5D51"/>
    <w:rsid w:val="009E7CD4"/>
    <w:rsid w:val="009F1A04"/>
    <w:rsid w:val="00A022FD"/>
    <w:rsid w:val="00A03E1E"/>
    <w:rsid w:val="00A11A9E"/>
    <w:rsid w:val="00A47FE5"/>
    <w:rsid w:val="00A51AB0"/>
    <w:rsid w:val="00A51B43"/>
    <w:rsid w:val="00A53D4F"/>
    <w:rsid w:val="00A56AB5"/>
    <w:rsid w:val="00A7500F"/>
    <w:rsid w:val="00A93657"/>
    <w:rsid w:val="00AA0BAE"/>
    <w:rsid w:val="00AA17F3"/>
    <w:rsid w:val="00AB15B5"/>
    <w:rsid w:val="00AB2D53"/>
    <w:rsid w:val="00AE5EF7"/>
    <w:rsid w:val="00AF70E9"/>
    <w:rsid w:val="00AF7A51"/>
    <w:rsid w:val="00B15C17"/>
    <w:rsid w:val="00B275DC"/>
    <w:rsid w:val="00B36261"/>
    <w:rsid w:val="00B526FC"/>
    <w:rsid w:val="00B7178B"/>
    <w:rsid w:val="00B931E3"/>
    <w:rsid w:val="00BA053B"/>
    <w:rsid w:val="00BB5150"/>
    <w:rsid w:val="00BC4DE5"/>
    <w:rsid w:val="00BD47B3"/>
    <w:rsid w:val="00BD4CF5"/>
    <w:rsid w:val="00C057C4"/>
    <w:rsid w:val="00C213A1"/>
    <w:rsid w:val="00C3099E"/>
    <w:rsid w:val="00C416C7"/>
    <w:rsid w:val="00C4284A"/>
    <w:rsid w:val="00C445A5"/>
    <w:rsid w:val="00C51777"/>
    <w:rsid w:val="00C6059E"/>
    <w:rsid w:val="00C66476"/>
    <w:rsid w:val="00C750D8"/>
    <w:rsid w:val="00C8119D"/>
    <w:rsid w:val="00C9522D"/>
    <w:rsid w:val="00CA50DC"/>
    <w:rsid w:val="00CB0CC2"/>
    <w:rsid w:val="00CC609D"/>
    <w:rsid w:val="00CD087C"/>
    <w:rsid w:val="00CE4018"/>
    <w:rsid w:val="00CE5A6A"/>
    <w:rsid w:val="00D05398"/>
    <w:rsid w:val="00D1542F"/>
    <w:rsid w:val="00D51AF2"/>
    <w:rsid w:val="00D602CB"/>
    <w:rsid w:val="00D614E0"/>
    <w:rsid w:val="00D85730"/>
    <w:rsid w:val="00D973AB"/>
    <w:rsid w:val="00DB5E93"/>
    <w:rsid w:val="00DC76BC"/>
    <w:rsid w:val="00DD7396"/>
    <w:rsid w:val="00DE2CEA"/>
    <w:rsid w:val="00DF2365"/>
    <w:rsid w:val="00E24324"/>
    <w:rsid w:val="00E42886"/>
    <w:rsid w:val="00E44405"/>
    <w:rsid w:val="00E44BA0"/>
    <w:rsid w:val="00E47C31"/>
    <w:rsid w:val="00E526A6"/>
    <w:rsid w:val="00E72DDF"/>
    <w:rsid w:val="00E74A23"/>
    <w:rsid w:val="00E9657C"/>
    <w:rsid w:val="00EF743A"/>
    <w:rsid w:val="00F04BA3"/>
    <w:rsid w:val="00F14244"/>
    <w:rsid w:val="00F245DA"/>
    <w:rsid w:val="00F24BDE"/>
    <w:rsid w:val="00F443D1"/>
    <w:rsid w:val="00F66767"/>
    <w:rsid w:val="00F8103A"/>
    <w:rsid w:val="00F85D08"/>
    <w:rsid w:val="00F9562F"/>
    <w:rsid w:val="00FA33B1"/>
    <w:rsid w:val="00FF0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32EC2B"/>
  <w15:docId w15:val="{BA21BFA4-D673-A542-9A42-1D8E75E5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B89"/>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F810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103A"/>
    <w:rPr>
      <w:rFonts w:ascii="Times New Roman" w:hAnsi="Times New Roman" w:cs="Times New Roman"/>
      <w:sz w:val="18"/>
      <w:szCs w:val="18"/>
    </w:rPr>
  </w:style>
  <w:style w:type="paragraph" w:styleId="ListParagraph">
    <w:name w:val="List Paragraph"/>
    <w:basedOn w:val="Normal"/>
    <w:uiPriority w:val="34"/>
    <w:qFormat/>
    <w:rsid w:val="003138AA"/>
    <w:pPr>
      <w:ind w:left="720"/>
      <w:contextualSpacing/>
    </w:pPr>
  </w:style>
  <w:style w:type="character" w:styleId="CommentReference">
    <w:name w:val="annotation reference"/>
    <w:basedOn w:val="DefaultParagraphFont"/>
    <w:uiPriority w:val="99"/>
    <w:semiHidden/>
    <w:unhideWhenUsed/>
    <w:rsid w:val="000E174B"/>
    <w:rPr>
      <w:sz w:val="16"/>
      <w:szCs w:val="16"/>
    </w:rPr>
  </w:style>
  <w:style w:type="paragraph" w:styleId="CommentText">
    <w:name w:val="annotation text"/>
    <w:basedOn w:val="Normal"/>
    <w:link w:val="CommentTextChar"/>
    <w:uiPriority w:val="99"/>
    <w:semiHidden/>
    <w:unhideWhenUsed/>
    <w:rsid w:val="000E174B"/>
    <w:rPr>
      <w:sz w:val="20"/>
      <w:szCs w:val="20"/>
    </w:rPr>
  </w:style>
  <w:style w:type="character" w:customStyle="1" w:styleId="CommentTextChar">
    <w:name w:val="Comment Text Char"/>
    <w:basedOn w:val="DefaultParagraphFont"/>
    <w:link w:val="CommentText"/>
    <w:uiPriority w:val="99"/>
    <w:semiHidden/>
    <w:rsid w:val="000E174B"/>
    <w:rPr>
      <w:sz w:val="20"/>
      <w:szCs w:val="20"/>
    </w:rPr>
  </w:style>
  <w:style w:type="paragraph" w:styleId="CommentSubject">
    <w:name w:val="annotation subject"/>
    <w:basedOn w:val="CommentText"/>
    <w:next w:val="CommentText"/>
    <w:link w:val="CommentSubjectChar"/>
    <w:uiPriority w:val="99"/>
    <w:semiHidden/>
    <w:unhideWhenUsed/>
    <w:rsid w:val="000E174B"/>
    <w:rPr>
      <w:b/>
      <w:bCs/>
    </w:rPr>
  </w:style>
  <w:style w:type="character" w:customStyle="1" w:styleId="CommentSubjectChar">
    <w:name w:val="Comment Subject Char"/>
    <w:basedOn w:val="CommentTextChar"/>
    <w:link w:val="CommentSubject"/>
    <w:uiPriority w:val="99"/>
    <w:semiHidden/>
    <w:rsid w:val="000E174B"/>
    <w:rPr>
      <w:b/>
      <w:bCs/>
      <w:sz w:val="20"/>
      <w:szCs w:val="20"/>
    </w:rPr>
  </w:style>
  <w:style w:type="table" w:styleId="TableGrid">
    <w:name w:val="Table Grid"/>
    <w:basedOn w:val="TableNormal"/>
    <w:uiPriority w:val="59"/>
    <w:rsid w:val="005F11E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A53D4F"/>
  </w:style>
  <w:style w:type="character" w:customStyle="1" w:styleId="ref-vol">
    <w:name w:val="ref-vol"/>
    <w:basedOn w:val="DefaultParagraphFont"/>
    <w:rsid w:val="00A53D4F"/>
  </w:style>
  <w:style w:type="character" w:styleId="Hyperlink">
    <w:name w:val="Hyperlink"/>
    <w:basedOn w:val="DefaultParagraphFont"/>
    <w:uiPriority w:val="99"/>
    <w:unhideWhenUsed/>
    <w:rsid w:val="0027560D"/>
    <w:rPr>
      <w:color w:val="0563C1" w:themeColor="hyperlink"/>
      <w:u w:val="single"/>
    </w:rPr>
  </w:style>
  <w:style w:type="character" w:styleId="UnresolvedMention">
    <w:name w:val="Unresolved Mention"/>
    <w:basedOn w:val="DefaultParagraphFont"/>
    <w:uiPriority w:val="99"/>
    <w:semiHidden/>
    <w:unhideWhenUsed/>
    <w:rsid w:val="00275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14904">
      <w:bodyDiv w:val="1"/>
      <w:marLeft w:val="0"/>
      <w:marRight w:val="0"/>
      <w:marTop w:val="0"/>
      <w:marBottom w:val="0"/>
      <w:divBdr>
        <w:top w:val="none" w:sz="0" w:space="0" w:color="auto"/>
        <w:left w:val="none" w:sz="0" w:space="0" w:color="auto"/>
        <w:bottom w:val="none" w:sz="0" w:space="0" w:color="auto"/>
        <w:right w:val="none" w:sz="0" w:space="0" w:color="auto"/>
      </w:divBdr>
    </w:div>
    <w:div w:id="449010554">
      <w:bodyDiv w:val="1"/>
      <w:marLeft w:val="0"/>
      <w:marRight w:val="0"/>
      <w:marTop w:val="0"/>
      <w:marBottom w:val="0"/>
      <w:divBdr>
        <w:top w:val="none" w:sz="0" w:space="0" w:color="auto"/>
        <w:left w:val="none" w:sz="0" w:space="0" w:color="auto"/>
        <w:bottom w:val="none" w:sz="0" w:space="0" w:color="auto"/>
        <w:right w:val="none" w:sz="0" w:space="0" w:color="auto"/>
      </w:divBdr>
    </w:div>
    <w:div w:id="469445511">
      <w:bodyDiv w:val="1"/>
      <w:marLeft w:val="0"/>
      <w:marRight w:val="0"/>
      <w:marTop w:val="0"/>
      <w:marBottom w:val="0"/>
      <w:divBdr>
        <w:top w:val="none" w:sz="0" w:space="0" w:color="auto"/>
        <w:left w:val="none" w:sz="0" w:space="0" w:color="auto"/>
        <w:bottom w:val="none" w:sz="0" w:space="0" w:color="auto"/>
        <w:right w:val="none" w:sz="0" w:space="0" w:color="auto"/>
      </w:divBdr>
    </w:div>
    <w:div w:id="618923152">
      <w:bodyDiv w:val="1"/>
      <w:marLeft w:val="0"/>
      <w:marRight w:val="0"/>
      <w:marTop w:val="0"/>
      <w:marBottom w:val="0"/>
      <w:divBdr>
        <w:top w:val="none" w:sz="0" w:space="0" w:color="auto"/>
        <w:left w:val="none" w:sz="0" w:space="0" w:color="auto"/>
        <w:bottom w:val="none" w:sz="0" w:space="0" w:color="auto"/>
        <w:right w:val="none" w:sz="0" w:space="0" w:color="auto"/>
      </w:divBdr>
    </w:div>
    <w:div w:id="775712802">
      <w:bodyDiv w:val="1"/>
      <w:marLeft w:val="0"/>
      <w:marRight w:val="0"/>
      <w:marTop w:val="0"/>
      <w:marBottom w:val="0"/>
      <w:divBdr>
        <w:top w:val="none" w:sz="0" w:space="0" w:color="auto"/>
        <w:left w:val="none" w:sz="0" w:space="0" w:color="auto"/>
        <w:bottom w:val="none" w:sz="0" w:space="0" w:color="auto"/>
        <w:right w:val="none" w:sz="0" w:space="0" w:color="auto"/>
      </w:divBdr>
    </w:div>
    <w:div w:id="884637436">
      <w:bodyDiv w:val="1"/>
      <w:marLeft w:val="0"/>
      <w:marRight w:val="0"/>
      <w:marTop w:val="0"/>
      <w:marBottom w:val="0"/>
      <w:divBdr>
        <w:top w:val="none" w:sz="0" w:space="0" w:color="auto"/>
        <w:left w:val="none" w:sz="0" w:space="0" w:color="auto"/>
        <w:bottom w:val="none" w:sz="0" w:space="0" w:color="auto"/>
        <w:right w:val="none" w:sz="0" w:space="0" w:color="auto"/>
      </w:divBdr>
    </w:div>
    <w:div w:id="1073742781">
      <w:bodyDiv w:val="1"/>
      <w:marLeft w:val="0"/>
      <w:marRight w:val="0"/>
      <w:marTop w:val="0"/>
      <w:marBottom w:val="0"/>
      <w:divBdr>
        <w:top w:val="none" w:sz="0" w:space="0" w:color="auto"/>
        <w:left w:val="none" w:sz="0" w:space="0" w:color="auto"/>
        <w:bottom w:val="none" w:sz="0" w:space="0" w:color="auto"/>
        <w:right w:val="none" w:sz="0" w:space="0" w:color="auto"/>
      </w:divBdr>
    </w:div>
    <w:div w:id="1493645738">
      <w:bodyDiv w:val="1"/>
      <w:marLeft w:val="0"/>
      <w:marRight w:val="0"/>
      <w:marTop w:val="0"/>
      <w:marBottom w:val="0"/>
      <w:divBdr>
        <w:top w:val="none" w:sz="0" w:space="0" w:color="auto"/>
        <w:left w:val="none" w:sz="0" w:space="0" w:color="auto"/>
        <w:bottom w:val="none" w:sz="0" w:space="0" w:color="auto"/>
        <w:right w:val="none" w:sz="0" w:space="0" w:color="auto"/>
      </w:divBdr>
    </w:div>
    <w:div w:id="1518619455">
      <w:bodyDiv w:val="1"/>
      <w:marLeft w:val="0"/>
      <w:marRight w:val="0"/>
      <w:marTop w:val="0"/>
      <w:marBottom w:val="0"/>
      <w:divBdr>
        <w:top w:val="none" w:sz="0" w:space="0" w:color="auto"/>
        <w:left w:val="none" w:sz="0" w:space="0" w:color="auto"/>
        <w:bottom w:val="none" w:sz="0" w:space="0" w:color="auto"/>
        <w:right w:val="none" w:sz="0" w:space="0" w:color="auto"/>
      </w:divBdr>
    </w:div>
    <w:div w:id="1541547299">
      <w:bodyDiv w:val="1"/>
      <w:marLeft w:val="0"/>
      <w:marRight w:val="0"/>
      <w:marTop w:val="0"/>
      <w:marBottom w:val="0"/>
      <w:divBdr>
        <w:top w:val="none" w:sz="0" w:space="0" w:color="auto"/>
        <w:left w:val="none" w:sz="0" w:space="0" w:color="auto"/>
        <w:bottom w:val="none" w:sz="0" w:space="0" w:color="auto"/>
        <w:right w:val="none" w:sz="0" w:space="0" w:color="auto"/>
      </w:divBdr>
    </w:div>
    <w:div w:id="1933051824">
      <w:bodyDiv w:val="1"/>
      <w:marLeft w:val="0"/>
      <w:marRight w:val="0"/>
      <w:marTop w:val="0"/>
      <w:marBottom w:val="0"/>
      <w:divBdr>
        <w:top w:val="none" w:sz="0" w:space="0" w:color="auto"/>
        <w:left w:val="none" w:sz="0" w:space="0" w:color="auto"/>
        <w:bottom w:val="none" w:sz="0" w:space="0" w:color="auto"/>
        <w:right w:val="none" w:sz="0" w:space="0" w:color="auto"/>
      </w:divBdr>
    </w:div>
    <w:div w:id="1957521033">
      <w:bodyDiv w:val="1"/>
      <w:marLeft w:val="0"/>
      <w:marRight w:val="0"/>
      <w:marTop w:val="0"/>
      <w:marBottom w:val="0"/>
      <w:divBdr>
        <w:top w:val="none" w:sz="0" w:space="0" w:color="auto"/>
        <w:left w:val="none" w:sz="0" w:space="0" w:color="auto"/>
        <w:bottom w:val="none" w:sz="0" w:space="0" w:color="auto"/>
        <w:right w:val="none" w:sz="0" w:space="0" w:color="auto"/>
      </w:divBdr>
    </w:div>
    <w:div w:id="1984965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04.safelinks.protection.outlook.com/?url=https%3A%2F%2Fwww.ncbi.nlm.nih.gov%2Fpubmed%2F11812732&amp;data=02%7C01%7Ckehao.zhang%40einsteinmed.org%7C9258176efdc5439b46af08d7b47ef7b1%7C9c01f0fd65e040c089a82dfd51e62025%7C0%7C0%7C637176329720007321&amp;sdata=5z3aIz1CK56yOnx1ZHAPsqltBatxNMPRenZL0g%2FWIJY%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1E46-188C-4359-B407-EEEE3D30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Reda</dc:creator>
  <cp:lastModifiedBy>Donna Reynolds</cp:lastModifiedBy>
  <cp:revision>2</cp:revision>
  <dcterms:created xsi:type="dcterms:W3CDTF">2020-04-28T15:42:00Z</dcterms:created>
  <dcterms:modified xsi:type="dcterms:W3CDTF">2020-04-28T15:42:00Z</dcterms:modified>
</cp:coreProperties>
</file>