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FFC" w:rsidRPr="002D0FFC" w:rsidRDefault="004D1009" w:rsidP="002D0FFC">
      <w:pPr>
        <w:pStyle w:val="berschrift1"/>
      </w:pPr>
      <w:bookmarkStart w:id="0" w:name="_Toc35376087"/>
      <w:r>
        <w:t>Supplemental Material</w:t>
      </w:r>
      <w:bookmarkEnd w:id="0"/>
      <w:r w:rsidR="002D0FFC">
        <w:rPr>
          <w:lang w:val="de-DE"/>
        </w:rPr>
        <w:fldChar w:fldCharType="begin"/>
      </w:r>
      <w:r w:rsidR="002D0FFC" w:rsidRPr="006605C8">
        <w:instrText xml:space="preserve"> TOC \o "1-2" \h \z \u </w:instrText>
      </w:r>
      <w:r w:rsidR="002D0FFC">
        <w:rPr>
          <w:lang w:val="de-DE"/>
        </w:rPr>
        <w:fldChar w:fldCharType="end"/>
      </w:r>
    </w:p>
    <w:p w:rsidR="004D1009" w:rsidRDefault="004D1009" w:rsidP="004D1009">
      <w:pPr>
        <w:pStyle w:val="berschrift2"/>
      </w:pPr>
      <w:bookmarkStart w:id="1" w:name="_Toc35376088"/>
      <w:r>
        <w:t>Supplemental Figure 1. Study Flow Chart.</w:t>
      </w:r>
      <w:bookmarkEnd w:id="1"/>
    </w:p>
    <w:p w:rsidR="004D1009" w:rsidRDefault="00AE450A" w:rsidP="00AE450A">
      <w:pPr>
        <w:jc w:val="center"/>
      </w:pPr>
      <w:r>
        <w:rPr>
          <w:noProof/>
        </w:rPr>
        <w:drawing>
          <wp:inline distT="0" distB="0" distL="0" distR="0" wp14:anchorId="455D63F3">
            <wp:extent cx="5827694" cy="4525963"/>
            <wp:effectExtent l="0" t="0" r="1905" b="825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157" cy="4547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3E2B" w:rsidRDefault="00E234E7" w:rsidP="000D3E2B">
      <w:r>
        <w:t xml:space="preserve">The clinical trial </w:t>
      </w:r>
      <w:r w:rsidRPr="00E234E7">
        <w:t>NCT02939404</w:t>
      </w:r>
      <w:r>
        <w:t xml:space="preserve"> </w:t>
      </w:r>
      <w:r w:rsidRPr="00E234E7">
        <w:t xml:space="preserve">was designed to evaluate the food intake response to short-term alteration of energy metabolism via </w:t>
      </w:r>
      <w:r>
        <w:t>cold exposure</w:t>
      </w:r>
      <w:r w:rsidRPr="00E234E7">
        <w:t xml:space="preserve"> in humans</w:t>
      </w:r>
      <w:r>
        <w:t xml:space="preserve">. </w:t>
      </w:r>
      <w:r w:rsidR="004D1009">
        <w:t>At the time of data analysis, 46 individuals were screened for the study, 25 were enrolled into the study, and 20 individuals completed the study.</w:t>
      </w:r>
      <w:r w:rsidR="000D3E2B">
        <w:t xml:space="preserve"> </w:t>
      </w:r>
      <w:r w:rsidR="000D3E2B" w:rsidRPr="00374334">
        <w:t>All individuals were 18 years or older and living in and nearby Phoenix</w:t>
      </w:r>
      <w:r w:rsidR="000D3E2B">
        <w:t>, AZ</w:t>
      </w:r>
      <w:r w:rsidR="000D3E2B" w:rsidRPr="00374334">
        <w:t xml:space="preserve">. </w:t>
      </w:r>
      <w:r w:rsidR="000D3E2B">
        <w:t>Participants</w:t>
      </w:r>
      <w:r w:rsidR="000D3E2B" w:rsidRPr="00374334">
        <w:t xml:space="preserve"> </w:t>
      </w:r>
      <w:r w:rsidR="000D3E2B">
        <w:t xml:space="preserve">self-reported to be </w:t>
      </w:r>
      <w:r w:rsidR="000D3E2B" w:rsidRPr="00374334">
        <w:t>weight stable (</w:t>
      </w:r>
      <w:r w:rsidR="000D3E2B">
        <w:t>&lt;</w:t>
      </w:r>
      <w:r w:rsidR="000D3E2B" w:rsidRPr="00374334">
        <w:t>10% weight variation) for at least 6 months prior to admission and were healthy by history, physical examination, and fasting blood tests.</w:t>
      </w:r>
      <w:r w:rsidR="002F4776">
        <w:t xml:space="preserve"> </w:t>
      </w:r>
      <w:bookmarkStart w:id="2" w:name="_Hlk35359946"/>
      <w:r w:rsidR="003A3D44">
        <w:t>Individuals with a body mass index lower than 18.5 kg/m</w:t>
      </w:r>
      <w:r w:rsidR="003A3D44" w:rsidRPr="003A3D44">
        <w:rPr>
          <w:vertAlign w:val="superscript"/>
        </w:rPr>
        <w:t>2</w:t>
      </w:r>
      <w:r w:rsidR="003A3D44">
        <w:t xml:space="preserve"> or </w:t>
      </w:r>
      <w:r w:rsidR="003A3D44">
        <w:lastRenderedPageBreak/>
        <w:t>greater than 50 kg/m</w:t>
      </w:r>
      <w:r w:rsidR="003A3D44" w:rsidRPr="003A3D44">
        <w:rPr>
          <w:vertAlign w:val="superscript"/>
        </w:rPr>
        <w:t>2</w:t>
      </w:r>
      <w:r w:rsidR="003A3D44">
        <w:t xml:space="preserve"> were excluded. </w:t>
      </w:r>
      <w:bookmarkEnd w:id="2"/>
      <w:r w:rsidR="002F4776">
        <w:t>Participants</w:t>
      </w:r>
      <w:r w:rsidR="002F4776" w:rsidRPr="00374334">
        <w:t xml:space="preserve"> were instructed to refrain from vigorous exercise and to restrict their activities to those available on the research unit.</w:t>
      </w:r>
    </w:p>
    <w:p w:rsidR="008D2ACC" w:rsidRDefault="008D2ACC" w:rsidP="008D2ACC">
      <w:r w:rsidRPr="007441AA">
        <w:rPr>
          <w:color w:val="000000" w:themeColor="text1"/>
        </w:rPr>
        <w:t xml:space="preserve">Power calculations were performed prior to </w:t>
      </w:r>
      <w:r>
        <w:rPr>
          <w:color w:val="000000" w:themeColor="text1"/>
        </w:rPr>
        <w:t xml:space="preserve">data </w:t>
      </w:r>
      <w:r w:rsidRPr="007441AA">
        <w:rPr>
          <w:color w:val="000000" w:themeColor="text1"/>
        </w:rPr>
        <w:t>analyses to calculate the minimum detectable correlation between</w:t>
      </w:r>
      <w:r w:rsidRPr="00E40719">
        <w:t xml:space="preserve"> </w:t>
      </w:r>
      <w:r>
        <w:t>the change in 24EE during COLD and fasting.</w:t>
      </w:r>
      <w:r w:rsidRPr="00E40719">
        <w:rPr>
          <w:color w:val="000000" w:themeColor="text1"/>
        </w:rPr>
        <w:t xml:space="preserve"> </w:t>
      </w:r>
      <w:r w:rsidRPr="007441AA">
        <w:rPr>
          <w:color w:val="000000" w:themeColor="text1"/>
        </w:rPr>
        <w:t>Assuming a power</w:t>
      </w:r>
      <w:r>
        <w:rPr>
          <w:color w:val="000000" w:themeColor="text1"/>
        </w:rPr>
        <w:t>=</w:t>
      </w:r>
      <w:r w:rsidRPr="007441AA">
        <w:rPr>
          <w:color w:val="000000" w:themeColor="text1"/>
        </w:rPr>
        <w:t xml:space="preserve">0.80 </w:t>
      </w:r>
      <w:r>
        <w:rPr>
          <w:color w:val="000000" w:themeColor="text1"/>
        </w:rPr>
        <w:t>(</w:t>
      </w:r>
      <w:r w:rsidRPr="007441AA">
        <w:rPr>
          <w:color w:val="000000" w:themeColor="text1"/>
        </w:rPr>
        <w:t>2-sided alpha level</w:t>
      </w:r>
      <w:r>
        <w:rPr>
          <w:color w:val="000000" w:themeColor="text1"/>
        </w:rPr>
        <w:t>=</w:t>
      </w:r>
      <w:r w:rsidRPr="007441AA">
        <w:rPr>
          <w:color w:val="000000" w:themeColor="text1"/>
        </w:rPr>
        <w:t>0.05</w:t>
      </w:r>
      <w:r>
        <w:rPr>
          <w:color w:val="000000" w:themeColor="text1"/>
        </w:rPr>
        <w:t xml:space="preserve">), a total of 19 participants were needed to detect a correlation r=0.60, </w:t>
      </w:r>
      <w:r w:rsidRPr="007441AA">
        <w:rPr>
          <w:color w:val="000000" w:themeColor="text1"/>
        </w:rPr>
        <w:t>which is comparable to what has been previously found</w:t>
      </w:r>
      <w:r>
        <w:rPr>
          <w:color w:val="000000" w:themeColor="text1"/>
        </w:rPr>
        <w:t xml:space="preserve"> by </w:t>
      </w:r>
      <w:r>
        <w:t xml:space="preserve">Wijers </w:t>
      </w:r>
      <w:r w:rsidRPr="00EC5CE9">
        <w:rPr>
          <w:i/>
        </w:rPr>
        <w:t>et al.</w:t>
      </w:r>
      <w:r w:rsidRPr="007441AA">
        <w:rPr>
          <w:color w:val="000000" w:themeColor="text1"/>
        </w:rPr>
        <w:t xml:space="preserve"> for the correlation between</w:t>
      </w:r>
      <w:r>
        <w:rPr>
          <w:color w:val="000000" w:themeColor="text1"/>
        </w:rPr>
        <w:t xml:space="preserve"> </w:t>
      </w:r>
      <w:r>
        <w:t>the change in 24EE during COLD and overfeeding (r=0.63)</w:t>
      </w:r>
      <w:r>
        <w:fldChar w:fldCharType="begin">
          <w:fldData xml:space="preserve">PEVuZE5vdGU+PENpdGU+PEF1dGhvcj5XaWplcnM8L0F1dGhvcj48WWVhcj4yMDA3PC9ZZWFyPjxS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</w:fldData>
        </w:fldChar>
      </w:r>
      <w:r>
        <w:instrText xml:space="preserve"> ADDIN EN.CITE </w:instrText>
      </w:r>
      <w:r>
        <w:fldChar w:fldCharType="begin">
          <w:fldData xml:space="preserve">PEVuZE5vdGU+PENpdGU+PEF1dGhvcj5XaWplcnM8L0F1dGhvcj48WWVhcj4yMDA3PC9ZZWFyPjxS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(</w:t>
      </w:r>
      <w:hyperlink w:anchor="_ENREF_1" w:tooltip="Wijers, 2007 #1249" w:history="1">
        <w:r w:rsidRPr="008D2ACC">
          <w:rPr>
            <w:rStyle w:val="Hyperlink"/>
          </w:rPr>
          <w:t>1</w:t>
        </w:r>
      </w:hyperlink>
      <w:r>
        <w:rPr>
          <w:noProof/>
        </w:rPr>
        <w:t>)</w:t>
      </w:r>
      <w:r>
        <w:fldChar w:fldCharType="end"/>
      </w:r>
      <w:r>
        <w:t>.</w:t>
      </w:r>
    </w:p>
    <w:p w:rsidR="008D2ACC" w:rsidRDefault="008D2ACC" w:rsidP="000D3E2B"/>
    <w:p w:rsidR="004D1009" w:rsidRDefault="004D1009" w:rsidP="004D1009">
      <w:pPr>
        <w:spacing w:after="160" w:line="259" w:lineRule="auto"/>
        <w:jc w:val="left"/>
      </w:pPr>
      <w:r>
        <w:br w:type="page"/>
      </w:r>
    </w:p>
    <w:p w:rsidR="004D1009" w:rsidRDefault="004D1009" w:rsidP="004D1009">
      <w:pPr>
        <w:pStyle w:val="berschrift2"/>
      </w:pPr>
      <w:bookmarkStart w:id="3" w:name="_Toc35376089"/>
      <w:r>
        <w:lastRenderedPageBreak/>
        <w:t>Supplemental Figure 2. Association of fat-free mass with 24EE during 24-h (A) energy balance, (B) cold exposure, and (C) fasting.</w:t>
      </w:r>
      <w:bookmarkEnd w:id="3"/>
    </w:p>
    <w:p w:rsidR="004D1009" w:rsidRPr="00322BBE" w:rsidRDefault="004D1009" w:rsidP="004D1009"/>
    <w:p w:rsidR="004D1009" w:rsidRDefault="004D1009" w:rsidP="004D1009">
      <w:r w:rsidRPr="00306CAD">
        <w:rPr>
          <w:noProof/>
        </w:rPr>
        <w:drawing>
          <wp:inline distT="0" distB="0" distL="0" distR="0" wp14:anchorId="52819E2E" wp14:editId="519E2214">
            <wp:extent cx="5943600" cy="211074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009" w:rsidRDefault="004D1009" w:rsidP="004D1009">
      <w:pPr>
        <w:spacing w:after="160" w:line="259" w:lineRule="auto"/>
        <w:jc w:val="left"/>
      </w:pPr>
      <w:r>
        <w:t>24EE, 24-h energy expenditure.</w:t>
      </w:r>
      <w:r>
        <w:br w:type="page"/>
      </w:r>
    </w:p>
    <w:p w:rsidR="00BB4E73" w:rsidRPr="00BB4E73" w:rsidRDefault="00BB4E73" w:rsidP="00BB4E73">
      <w:pPr>
        <w:keepNext/>
        <w:keepLines/>
        <w:spacing w:before="240" w:after="240"/>
        <w:outlineLvl w:val="1"/>
        <w:rPr>
          <w:rFonts w:eastAsiaTheme="majorEastAsia" w:cstheme="majorBidi"/>
          <w:b/>
          <w:color w:val="000000" w:themeColor="text1"/>
          <w:sz w:val="24"/>
          <w:szCs w:val="26"/>
        </w:rPr>
      </w:pPr>
      <w:bookmarkStart w:id="4" w:name="_Toc35376090"/>
      <w:r w:rsidRPr="00BB4E73">
        <w:rPr>
          <w:rFonts w:eastAsiaTheme="majorEastAsia" w:cstheme="majorBidi"/>
          <w:b/>
          <w:color w:val="000000" w:themeColor="text1"/>
          <w:sz w:val="24"/>
          <w:szCs w:val="26"/>
        </w:rPr>
        <w:lastRenderedPageBreak/>
        <w:t xml:space="preserve">Supplemental Figure </w:t>
      </w:r>
      <w:r>
        <w:rPr>
          <w:rFonts w:eastAsiaTheme="majorEastAsia" w:cstheme="majorBidi"/>
          <w:b/>
          <w:color w:val="000000" w:themeColor="text1"/>
          <w:sz w:val="24"/>
          <w:szCs w:val="26"/>
        </w:rPr>
        <w:t>3</w:t>
      </w:r>
      <w:r w:rsidRPr="00BB4E73">
        <w:rPr>
          <w:rFonts w:eastAsiaTheme="majorEastAsia" w:cstheme="majorBidi"/>
          <w:b/>
          <w:color w:val="000000" w:themeColor="text1"/>
          <w:sz w:val="24"/>
          <w:szCs w:val="26"/>
        </w:rPr>
        <w:t xml:space="preserve">. </w:t>
      </w:r>
      <w:r>
        <w:rPr>
          <w:rFonts w:eastAsiaTheme="majorEastAsia" w:cstheme="majorBidi"/>
          <w:b/>
          <w:color w:val="000000" w:themeColor="text1"/>
          <w:sz w:val="24"/>
          <w:szCs w:val="26"/>
        </w:rPr>
        <w:t xml:space="preserve">Distribution of </w:t>
      </w:r>
      <w:r w:rsidR="006605C8">
        <w:rPr>
          <w:rFonts w:eastAsiaTheme="majorEastAsia" w:cstheme="majorBidi"/>
          <w:b/>
          <w:color w:val="000000" w:themeColor="text1"/>
          <w:sz w:val="24"/>
          <w:szCs w:val="26"/>
        </w:rPr>
        <w:t>body mass index</w:t>
      </w:r>
      <w:r>
        <w:rPr>
          <w:rFonts w:eastAsiaTheme="majorEastAsia" w:cstheme="majorBidi"/>
          <w:b/>
          <w:color w:val="000000" w:themeColor="text1"/>
          <w:sz w:val="24"/>
          <w:szCs w:val="26"/>
        </w:rPr>
        <w:t xml:space="preserve"> values across study participants</w:t>
      </w:r>
      <w:r w:rsidRPr="00BB4E73">
        <w:rPr>
          <w:rFonts w:eastAsiaTheme="majorEastAsia" w:cstheme="majorBidi"/>
          <w:b/>
          <w:color w:val="000000" w:themeColor="text1"/>
          <w:sz w:val="24"/>
          <w:szCs w:val="26"/>
        </w:rPr>
        <w:t>.</w:t>
      </w:r>
      <w:bookmarkEnd w:id="4"/>
    </w:p>
    <w:p w:rsidR="00BB4E73" w:rsidRPr="00BB4E73" w:rsidRDefault="00BB4E73" w:rsidP="00BB4E73"/>
    <w:p w:rsidR="00BB4E73" w:rsidRPr="006605C8" w:rsidRDefault="006605C8" w:rsidP="000C6678">
      <w:pPr>
        <w:jc w:val="center"/>
      </w:pPr>
      <w:r w:rsidRPr="006605C8">
        <w:rPr>
          <w:noProof/>
        </w:rPr>
        <w:drawing>
          <wp:inline distT="0" distB="0" distL="0" distR="0">
            <wp:extent cx="5200650" cy="303093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853" cy="303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E73" w:rsidRPr="00BB4E73" w:rsidRDefault="00BB4E73" w:rsidP="00BB4E73">
      <w:pPr>
        <w:spacing w:after="160" w:line="259" w:lineRule="auto"/>
        <w:jc w:val="left"/>
      </w:pPr>
      <w:r w:rsidRPr="00BB4E73">
        <w:br w:type="page"/>
      </w:r>
    </w:p>
    <w:p w:rsidR="005126AA" w:rsidRDefault="005126AA" w:rsidP="00BB4E73">
      <w:pPr>
        <w:pStyle w:val="berschrift2"/>
        <w:jc w:val="left"/>
      </w:pPr>
      <w:bookmarkStart w:id="5" w:name="_Toc35376091"/>
      <w:bookmarkStart w:id="6" w:name="OLE_LINK3"/>
      <w:r>
        <w:lastRenderedPageBreak/>
        <w:t xml:space="preserve">Supplemental Figure </w:t>
      </w:r>
      <w:r w:rsidR="006F1861">
        <w:t>4</w:t>
      </w:r>
      <w:r>
        <w:t>. Associations between 24EE during energy balance at thermoneutrality and COLD or fasting conditions at thermoneutrality.</w:t>
      </w:r>
      <w:bookmarkEnd w:id="5"/>
    </w:p>
    <w:p w:rsidR="005126AA" w:rsidRPr="00BE0E6D" w:rsidRDefault="005126AA" w:rsidP="005126AA">
      <w:pPr>
        <w:jc w:val="center"/>
      </w:pPr>
      <w:r w:rsidRPr="00FF06B2">
        <w:t xml:space="preserve"> </w:t>
      </w:r>
      <w:r w:rsidRPr="00041660">
        <w:rPr>
          <w:noProof/>
        </w:rPr>
        <w:drawing>
          <wp:inline distT="0" distB="0" distL="0" distR="0" wp14:anchorId="79FFAB6F" wp14:editId="6060A92C">
            <wp:extent cx="5372100" cy="34821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970" cy="348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6AA" w:rsidRDefault="005126AA" w:rsidP="005126AA">
      <w:r>
        <w:t>The bold linear regression line denotes the association between 24EE during energy balance and fasting and has a slope of 0.90 (95% CI: 0.74, 1.06), while the light linear regression line denotes the association between 24EE during energy balance and cold exposure and has a slope of 0.92 (95% CI: 0.80, 1.05). The dotted line denotes the identity line.</w:t>
      </w:r>
    </w:p>
    <w:p w:rsidR="005126AA" w:rsidRDefault="005126AA" w:rsidP="005126AA">
      <w:r>
        <w:t>Two volunteers had a 24-h energy balance greater than 20%. We performed sensitivity analyses in n=18 volunteers after their exclusion and found similar results (data not shown).</w:t>
      </w:r>
    </w:p>
    <w:p w:rsidR="005126AA" w:rsidRDefault="005126AA" w:rsidP="005126AA">
      <w:r>
        <w:t>24EE, 24-h energy expenditure;</w:t>
      </w:r>
      <w:r w:rsidRPr="00BE0E6D">
        <w:t xml:space="preserve"> </w:t>
      </w:r>
      <w:r>
        <w:t>CI, confidence interval.</w:t>
      </w:r>
    </w:p>
    <w:p w:rsidR="005126AA" w:rsidRDefault="005126AA" w:rsidP="005126AA">
      <w:pPr>
        <w:rPr>
          <w:b/>
        </w:rPr>
      </w:pPr>
      <w:r>
        <w:br w:type="page"/>
      </w:r>
    </w:p>
    <w:p w:rsidR="004D1009" w:rsidRDefault="004D1009" w:rsidP="004D1009">
      <w:pPr>
        <w:pStyle w:val="berschrift2"/>
      </w:pPr>
      <w:bookmarkStart w:id="7" w:name="_Toc35376092"/>
      <w:r>
        <w:lastRenderedPageBreak/>
        <w:t xml:space="preserve">Supplemental </w:t>
      </w:r>
      <w:bookmarkEnd w:id="6"/>
      <w:r>
        <w:t xml:space="preserve">Figure </w:t>
      </w:r>
      <w:r w:rsidR="006F1861">
        <w:t>5</w:t>
      </w:r>
      <w:r>
        <w:t>. Association between (A) the change in adjusted 24EE during fasting and cold exposure, and between (B) 24EE during fasting and cold exposure adjusted by 24EE during energy balance.</w:t>
      </w:r>
      <w:bookmarkEnd w:id="7"/>
    </w:p>
    <w:p w:rsidR="004D1009" w:rsidRPr="00322BBE" w:rsidRDefault="004D1009" w:rsidP="004D1009"/>
    <w:p w:rsidR="004D1009" w:rsidRDefault="004D1009" w:rsidP="004D1009">
      <w:r w:rsidRPr="00753A5D">
        <w:rPr>
          <w:noProof/>
        </w:rPr>
        <w:drawing>
          <wp:inline distT="0" distB="0" distL="0" distR="0" wp14:anchorId="3A8E2B2A" wp14:editId="7B1AB230">
            <wp:extent cx="5943600" cy="30048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009" w:rsidRDefault="004D1009" w:rsidP="004D1009">
      <w:r>
        <w:t>Individual</w:t>
      </w:r>
      <w:r w:rsidRPr="009345EE">
        <w:t xml:space="preserve"> changes (</w:t>
      </w:r>
      <w:r w:rsidRPr="009345EE">
        <w:rPr>
          <w:rFonts w:cs="Times New Roman"/>
        </w:rPr>
        <w:t>∆</w:t>
      </w:r>
      <w:r w:rsidRPr="009345EE">
        <w:t xml:space="preserve">) in </w:t>
      </w:r>
      <w:r>
        <w:t xml:space="preserve">adjusted </w:t>
      </w:r>
      <w:r w:rsidRPr="009345EE">
        <w:t>24EE</w:t>
      </w:r>
      <w:r>
        <w:t xml:space="preserve"> and SLEEP </w:t>
      </w:r>
      <w:r w:rsidRPr="009345EE">
        <w:t xml:space="preserve">were calculated </w:t>
      </w:r>
      <w:r>
        <w:t xml:space="preserve">as the difference between cold exposure or fasting condition minus </w:t>
      </w:r>
      <w:r w:rsidRPr="009345EE">
        <w:t xml:space="preserve">energy balance </w:t>
      </w:r>
      <w:r>
        <w:t>condition.</w:t>
      </w:r>
    </w:p>
    <w:p w:rsidR="004D1009" w:rsidRDefault="004D1009" w:rsidP="004D1009">
      <w:r w:rsidRPr="0028338C">
        <w:t xml:space="preserve">Adjusted </w:t>
      </w:r>
      <w:r>
        <w:t xml:space="preserve">energy expenditure </w:t>
      </w:r>
      <w:r w:rsidRPr="0028338C">
        <w:t xml:space="preserve">values were calculated by adding the average value calculated in the whole cohort to the residual values obtained from linear regression models with covariates </w:t>
      </w:r>
      <w:r>
        <w:t>fat mass</w:t>
      </w:r>
      <w:r w:rsidRPr="0028338C">
        <w:t xml:space="preserve"> and </w:t>
      </w:r>
      <w:r>
        <w:t>fat-free mass (for panel A), and with 24EE during energy balance (for panel B)</w:t>
      </w:r>
      <w:r w:rsidRPr="0028338C">
        <w:t>.</w:t>
      </w:r>
    </w:p>
    <w:p w:rsidR="004352A1" w:rsidRDefault="004D1009" w:rsidP="004D1009">
      <w:r>
        <w:t>24EE, 24-h energy expenditure.</w:t>
      </w:r>
    </w:p>
    <w:p w:rsidR="004352A1" w:rsidRPr="004352A1" w:rsidRDefault="004352A1" w:rsidP="004352A1">
      <w:pPr>
        <w:keepNext/>
        <w:keepLines/>
        <w:spacing w:before="240" w:after="240"/>
        <w:outlineLvl w:val="1"/>
        <w:rPr>
          <w:rFonts w:eastAsiaTheme="majorEastAsia" w:cstheme="majorBidi"/>
          <w:b/>
          <w:color w:val="000000" w:themeColor="text1"/>
          <w:sz w:val="24"/>
          <w:szCs w:val="26"/>
        </w:rPr>
      </w:pPr>
      <w:bookmarkStart w:id="8" w:name="_Toc35376093"/>
      <w:r w:rsidRPr="004352A1">
        <w:rPr>
          <w:rFonts w:eastAsiaTheme="majorEastAsia" w:cstheme="majorBidi"/>
          <w:b/>
          <w:color w:val="000000" w:themeColor="text1"/>
          <w:sz w:val="24"/>
          <w:szCs w:val="26"/>
        </w:rPr>
        <w:lastRenderedPageBreak/>
        <w:t xml:space="preserve">Supplemental Figure </w:t>
      </w:r>
      <w:r w:rsidR="006F1861">
        <w:rPr>
          <w:rFonts w:eastAsiaTheme="majorEastAsia" w:cstheme="majorBidi"/>
          <w:b/>
          <w:color w:val="000000" w:themeColor="text1"/>
          <w:sz w:val="24"/>
          <w:szCs w:val="26"/>
        </w:rPr>
        <w:t>6</w:t>
      </w:r>
      <w:r w:rsidRPr="004352A1">
        <w:rPr>
          <w:rFonts w:eastAsiaTheme="majorEastAsia" w:cstheme="majorBidi"/>
          <w:b/>
          <w:color w:val="000000" w:themeColor="text1"/>
          <w:sz w:val="24"/>
          <w:szCs w:val="26"/>
        </w:rPr>
        <w:t xml:space="preserve">. </w:t>
      </w:r>
      <w:r>
        <w:rPr>
          <w:rFonts w:eastAsiaTheme="majorEastAsia" w:cstheme="majorBidi"/>
          <w:b/>
          <w:color w:val="000000" w:themeColor="text1"/>
          <w:sz w:val="24"/>
          <w:szCs w:val="26"/>
        </w:rPr>
        <w:t xml:space="preserve">Changes in (A) 24EE and (B) SLEEP compared between </w:t>
      </w:r>
      <w:r w:rsidRPr="004352A1">
        <w:rPr>
          <w:rFonts w:eastAsiaTheme="majorEastAsia" w:cstheme="majorBidi"/>
          <w:b/>
          <w:i/>
          <w:iCs/>
          <w:color w:val="000000" w:themeColor="text1"/>
          <w:sz w:val="24"/>
          <w:szCs w:val="26"/>
        </w:rPr>
        <w:t>thrifty</w:t>
      </w:r>
      <w:r>
        <w:rPr>
          <w:rFonts w:eastAsiaTheme="majorEastAsia" w:cstheme="majorBidi"/>
          <w:b/>
          <w:color w:val="000000" w:themeColor="text1"/>
          <w:sz w:val="24"/>
          <w:szCs w:val="26"/>
        </w:rPr>
        <w:t xml:space="preserve"> and </w:t>
      </w:r>
      <w:r w:rsidRPr="004352A1">
        <w:rPr>
          <w:rFonts w:eastAsiaTheme="majorEastAsia" w:cstheme="majorBidi"/>
          <w:b/>
          <w:i/>
          <w:iCs/>
          <w:color w:val="000000" w:themeColor="text1"/>
          <w:sz w:val="24"/>
          <w:szCs w:val="26"/>
        </w:rPr>
        <w:t>spendthrift</w:t>
      </w:r>
      <w:r>
        <w:rPr>
          <w:rFonts w:eastAsiaTheme="majorEastAsia" w:cstheme="majorBidi"/>
          <w:b/>
          <w:color w:val="000000" w:themeColor="text1"/>
          <w:sz w:val="24"/>
          <w:szCs w:val="26"/>
        </w:rPr>
        <w:t xml:space="preserve"> individuals defined by the</w:t>
      </w:r>
      <w:r w:rsidR="00A67F34">
        <w:rPr>
          <w:rFonts w:eastAsiaTheme="majorEastAsia" w:cstheme="majorBidi"/>
          <w:b/>
          <w:color w:val="000000" w:themeColor="text1"/>
          <w:sz w:val="24"/>
          <w:szCs w:val="26"/>
        </w:rPr>
        <w:t xml:space="preserve"> two</w:t>
      </w:r>
      <w:r>
        <w:rPr>
          <w:rFonts w:eastAsiaTheme="majorEastAsia" w:cstheme="majorBidi"/>
          <w:b/>
          <w:color w:val="000000" w:themeColor="text1"/>
          <w:sz w:val="24"/>
          <w:szCs w:val="26"/>
        </w:rPr>
        <w:t xml:space="preserve"> lower/upper quintiles of the fasting-induced decrease in 24EE.</w:t>
      </w:r>
      <w:bookmarkEnd w:id="8"/>
    </w:p>
    <w:p w:rsidR="004352A1" w:rsidRPr="004352A1" w:rsidRDefault="004352A1" w:rsidP="004352A1">
      <w:pPr>
        <w:jc w:val="center"/>
      </w:pPr>
      <w:r w:rsidRPr="001F492A">
        <w:rPr>
          <w:noProof/>
        </w:rPr>
        <w:drawing>
          <wp:inline distT="0" distB="0" distL="0" distR="0" wp14:anchorId="70827D52" wp14:editId="590EB490">
            <wp:extent cx="5267325" cy="236298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775" cy="236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2A1" w:rsidRDefault="004352A1" w:rsidP="004352A1">
      <w:r>
        <w:t>Individual changes (∆) in 24EE and SLEEP were calculated as the difference between cold exposure or fasting condition minus energy balance condition.</w:t>
      </w:r>
    </w:p>
    <w:p w:rsidR="004352A1" w:rsidRDefault="004352A1" w:rsidP="004352A1">
      <w:r>
        <w:t xml:space="preserve">Individuals were categorized as </w:t>
      </w:r>
      <w:r w:rsidRPr="004352A1">
        <w:rPr>
          <w:i/>
          <w:iCs/>
        </w:rPr>
        <w:t>thrifty</w:t>
      </w:r>
      <w:r>
        <w:t xml:space="preserve"> or </w:t>
      </w:r>
      <w:r w:rsidRPr="004352A1">
        <w:rPr>
          <w:i/>
          <w:iCs/>
        </w:rPr>
        <w:t>spendthrift</w:t>
      </w:r>
      <w:r>
        <w:t xml:space="preserve"> based on the two lower (&lt; </w:t>
      </w:r>
      <w:r w:rsidRPr="004352A1">
        <w:t>–</w:t>
      </w:r>
      <w:r>
        <w:t xml:space="preserve">281 kcal/day) </w:t>
      </w:r>
      <w:r w:rsidR="008F6172">
        <w:t>or</w:t>
      </w:r>
      <w:r>
        <w:t xml:space="preserve"> two upper quintiles </w:t>
      </w:r>
      <w:r w:rsidRPr="004352A1">
        <w:t>(</w:t>
      </w:r>
      <w:r>
        <w:t>&gt;</w:t>
      </w:r>
      <w:r w:rsidRPr="004352A1">
        <w:t xml:space="preserve"> –</w:t>
      </w:r>
      <w:r>
        <w:t>96</w:t>
      </w:r>
      <w:r w:rsidRPr="004352A1">
        <w:t xml:space="preserve"> kcal/day)</w:t>
      </w:r>
      <w:r>
        <w:t xml:space="preserve"> of the difference in 24EE between energy balance and fasting</w:t>
      </w:r>
      <w:r w:rsidR="008F6172">
        <w:t>, respectively</w:t>
      </w:r>
      <w:r>
        <w:t>. Paired t-test was used to evaluate the within-group changes in energy expenditure measures between fasting/cold exposure vs. eucaloric conditions while unpaired t-test was used to compare between-group differences in energy expenditure measures.</w:t>
      </w:r>
    </w:p>
    <w:p w:rsidR="004D1009" w:rsidRDefault="004352A1" w:rsidP="004352A1">
      <w:r>
        <w:t>24EE, 24-h energy expenditure; SLEEP, sleeping energy expenditure; CI, 95% confidence interval.</w:t>
      </w:r>
      <w:r w:rsidR="004D1009">
        <w:br w:type="page"/>
      </w:r>
    </w:p>
    <w:p w:rsidR="004D1009" w:rsidRDefault="004D1009" w:rsidP="004D1009">
      <w:pPr>
        <w:pStyle w:val="berschrift2"/>
      </w:pPr>
      <w:bookmarkStart w:id="9" w:name="_Toc35376094"/>
      <w:r>
        <w:lastRenderedPageBreak/>
        <w:t xml:space="preserve">Supplemental Figure </w:t>
      </w:r>
      <w:r w:rsidR="006F1861">
        <w:t>7</w:t>
      </w:r>
      <w:r>
        <w:t>. Hormonal changes of (A) glucose, (B) insulin, (C) FGF21, (D) leptin, (E) urinary epinephrine excretion rate, and (F) urinary norepinephrine excretion rate after 24-h energy balance at thermoneutrality, cold exposure, and fasting conditions at thermoneutrality.</w:t>
      </w:r>
      <w:bookmarkEnd w:id="9"/>
    </w:p>
    <w:p w:rsidR="004D1009" w:rsidRDefault="004D1009" w:rsidP="004D1009">
      <w:pPr>
        <w:jc w:val="center"/>
      </w:pPr>
      <w:r w:rsidRPr="00D80361">
        <w:rPr>
          <w:noProof/>
        </w:rPr>
        <w:drawing>
          <wp:inline distT="0" distB="0" distL="0" distR="0" wp14:anchorId="5F45977F" wp14:editId="0BD1CED0">
            <wp:extent cx="3806218" cy="51196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403" cy="512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009" w:rsidRDefault="004D1009" w:rsidP="004D1009">
      <w:r>
        <w:t>Light grey columns denote pre-values, dark grey columns denote post values of each intervention. Statistical significance determined by Student’s paired t-test.</w:t>
      </w:r>
    </w:p>
    <w:p w:rsidR="004D1009" w:rsidRDefault="004D1009" w:rsidP="005126AA">
      <w:r>
        <w:t>FGF21, Fibroblast Growth Factor 21.</w:t>
      </w:r>
      <w:r>
        <w:br w:type="page"/>
      </w:r>
    </w:p>
    <w:p w:rsidR="005126AA" w:rsidRDefault="005126AA" w:rsidP="005126AA">
      <w:pPr>
        <w:pStyle w:val="berschrift2"/>
      </w:pPr>
      <w:bookmarkStart w:id="10" w:name="_Toc35376095"/>
      <w:r>
        <w:lastRenderedPageBreak/>
        <w:t xml:space="preserve">Supplemental Figure </w:t>
      </w:r>
      <w:r w:rsidR="006F1861">
        <w:t>8</w:t>
      </w:r>
      <w:r>
        <w:t>. Association between changes in 24EE during cold exposure in isocaloric conditions and changes in skin body temperatures.</w:t>
      </w:r>
      <w:bookmarkEnd w:id="10"/>
    </w:p>
    <w:p w:rsidR="005126AA" w:rsidRDefault="005126AA" w:rsidP="005126AA">
      <w:pPr>
        <w:jc w:val="center"/>
      </w:pPr>
      <w:r w:rsidRPr="00D537EE">
        <w:rPr>
          <w:noProof/>
        </w:rPr>
        <w:drawing>
          <wp:inline distT="0" distB="0" distL="0" distR="0" wp14:anchorId="0A76390A" wp14:editId="7476E76E">
            <wp:extent cx="2409825" cy="613823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171" cy="614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B56" w:rsidRDefault="00600B56" w:rsidP="00600B56">
      <w:r>
        <w:t xml:space="preserve">During all 24EE assessments, skin temperatures were continuously measured by iButtons (iButtonLink, LLC, WI, USA), as previously </w:t>
      </w:r>
      <w:proofErr w:type="gramStart"/>
      <w:r>
        <w:t>described(</w:t>
      </w:r>
      <w:proofErr w:type="gramEnd"/>
      <w:r>
        <w:t xml:space="preserve">1-3). Nine temperature sensors were attached to the skin (left/right </w:t>
      </w:r>
      <w:r>
        <w:lastRenderedPageBreak/>
        <w:t>volar wrist, left/right medial ankle, 1 cm below umbilicus, left-upper back, right-lower back, left/right mid-supraclavicular) using adhesive dressing.</w:t>
      </w:r>
    </w:p>
    <w:p w:rsidR="00600B56" w:rsidRDefault="00600B56" w:rsidP="00600B56">
      <w:r>
        <w:t>Total-body skin temperature was calculated by taking the average of all nine temperature sensors. Central-skin temperature was calculated by taking the average of the sensors 1 cm below navel, left upper back, right lower back, and left/right supraclavicular; distal-skin temperature was calculated by taking the average of the sensors on left/right wrists and on left/right ankles; while supraclavicular-skin temperature was calculated by taking the average of the left/right supraclavicular sensors. The temperature gradient between central- and distal-skin temperature was calculated by subtracting distal- from central-skin temperature. The temperature gradient between core-body and central-skin temperature was calculated by subtracting central-skin from core-body temperature.</w:t>
      </w:r>
    </w:p>
    <w:p w:rsidR="005126AA" w:rsidRDefault="005126AA" w:rsidP="005126AA">
      <w:r>
        <w:t>Individual</w:t>
      </w:r>
      <w:r w:rsidRPr="009345EE">
        <w:t xml:space="preserve"> changes (</w:t>
      </w:r>
      <w:r w:rsidRPr="009345EE">
        <w:rPr>
          <w:rFonts w:cs="Times New Roman"/>
        </w:rPr>
        <w:t>∆</w:t>
      </w:r>
      <w:r w:rsidRPr="009345EE">
        <w:t xml:space="preserve">) in </w:t>
      </w:r>
      <w:r>
        <w:t xml:space="preserve">24EE and skin temperatures </w:t>
      </w:r>
      <w:r w:rsidRPr="009345EE">
        <w:t xml:space="preserve">were calculated </w:t>
      </w:r>
      <w:r>
        <w:t xml:space="preserve">as the difference between </w:t>
      </w:r>
      <w:r>
        <w:rPr>
          <w:color w:val="000000" w:themeColor="text1"/>
        </w:rPr>
        <w:t>cold exposure</w:t>
      </w:r>
      <w:r w:rsidRPr="00952DE1">
        <w:rPr>
          <w:color w:val="000000" w:themeColor="text1"/>
        </w:rPr>
        <w:t xml:space="preserve"> </w:t>
      </w:r>
      <w:r>
        <w:t xml:space="preserve">or fasting condition minus </w:t>
      </w:r>
      <w:r w:rsidRPr="009345EE">
        <w:t xml:space="preserve">energy balance </w:t>
      </w:r>
      <w:r>
        <w:t>condition</w:t>
      </w:r>
      <w:r w:rsidRPr="009345EE">
        <w:t>.</w:t>
      </w:r>
    </w:p>
    <w:p w:rsidR="00697F76" w:rsidRDefault="00697F76" w:rsidP="005126AA">
      <w:r w:rsidRPr="00697F76">
        <w:t>A greater increase in 24EE during cold exposure was associated with a greater concomitant decrease in distal-skin temperature (</w:t>
      </w:r>
      <w:r w:rsidR="002347EE">
        <w:t>panel A</w:t>
      </w:r>
      <w:r w:rsidRPr="00697F76">
        <w:t xml:space="preserve">), a greater increase in the temperature gradient between central- and distal-skin temperature (r=0.70, p=0.002, </w:t>
      </w:r>
      <w:r w:rsidR="002347EE">
        <w:t>panel C</w:t>
      </w:r>
      <w:r w:rsidRPr="00697F76">
        <w:t>). Both associations were independent of PFAT (both partial r&lt;0.007</w:t>
      </w:r>
      <w:r w:rsidR="002347EE">
        <w:t>, data not shown</w:t>
      </w:r>
      <w:r w:rsidRPr="00697F76">
        <w:t>). Furthermore, a greater increase in 24EE during cold exposure was associated with a greater increase in supraclavicular-skin temperature (</w:t>
      </w:r>
      <w:r w:rsidR="002347EE">
        <w:t>panel B</w:t>
      </w:r>
      <w:r w:rsidRPr="00697F76">
        <w:t>).</w:t>
      </w:r>
    </w:p>
    <w:p w:rsidR="005126AA" w:rsidRDefault="005126AA" w:rsidP="005126AA">
      <w:r>
        <w:t>24EE, 24-h energy expenditure.</w:t>
      </w:r>
    </w:p>
    <w:p w:rsidR="004D1009" w:rsidRDefault="004D1009" w:rsidP="004D1009">
      <w:pPr>
        <w:pStyle w:val="berschrift2"/>
      </w:pPr>
      <w:bookmarkStart w:id="11" w:name="_Toc35376096"/>
      <w:r w:rsidRPr="00F25B2D">
        <w:lastRenderedPageBreak/>
        <w:t xml:space="preserve">Supplemental Figure </w:t>
      </w:r>
      <w:r w:rsidR="006F1861">
        <w:t>9</w:t>
      </w:r>
      <w:r w:rsidRPr="00F25B2D">
        <w:t xml:space="preserve">. </w:t>
      </w:r>
      <w:r>
        <w:t>Association between percentage body fat and changes in skin body temperatures</w:t>
      </w:r>
      <w:r w:rsidRPr="001962AF">
        <w:t xml:space="preserve"> </w:t>
      </w:r>
      <w:r>
        <w:t>during (A, B) 24-h cold exposure and (C, D) 24-h fasting.</w:t>
      </w:r>
      <w:bookmarkEnd w:id="11"/>
    </w:p>
    <w:p w:rsidR="004D1009" w:rsidRPr="00F25B2D" w:rsidRDefault="004D1009" w:rsidP="004D1009">
      <w:r w:rsidRPr="006A3DEC">
        <w:rPr>
          <w:noProof/>
        </w:rPr>
        <w:drawing>
          <wp:inline distT="0" distB="0" distL="0" distR="0" wp14:anchorId="77E9CCBD" wp14:editId="5F60669E">
            <wp:extent cx="5943600" cy="57137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1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B56" w:rsidRDefault="00600B56" w:rsidP="00600B56">
      <w:r>
        <w:t xml:space="preserve">During all 24EE assessments, skin temperatures were continuously measured by iButtons (iButtonLink, LLC, WI, USA), as previously </w:t>
      </w:r>
      <w:proofErr w:type="gramStart"/>
      <w:r>
        <w:t>described(</w:t>
      </w:r>
      <w:proofErr w:type="gramEnd"/>
      <w:r>
        <w:t>1-3). Nine temperature sensors were attached to the skin (left/right volar wrist, left/right medial ankle, 1 cm below umbilicus, left-upper back, right-lower back, left/right mid-supraclavicular) using adhesive dressing.</w:t>
      </w:r>
    </w:p>
    <w:p w:rsidR="00600B56" w:rsidRDefault="00600B56" w:rsidP="00600B56">
      <w:r>
        <w:lastRenderedPageBreak/>
        <w:t>Total-body skin temperature was calculated by taking the average of all nine temperature sensors. Central-skin temperature was calculated by taking the average of the sensors 1 cm below navel, left upper back, right lower back, and left/right supraclavicular; distal-skin temperature was calculated by taking the average of the sensors on left/right wrists and on left/right ankles; while supraclavicular-skin temperature was calculated by taking the average of the left/right supraclavicular sensors. The temperature gradient between central- and distal-skin temperature was calculated by subtracting distal- from central-skin temperature. The temperature gradient between core-body and central-skin temperature was calculated by subtracting central-skin from core-body temperature.</w:t>
      </w:r>
    </w:p>
    <w:p w:rsidR="004D1009" w:rsidRDefault="004D1009" w:rsidP="00600B56">
      <w:r>
        <w:t>Individual</w:t>
      </w:r>
      <w:r w:rsidRPr="009345EE">
        <w:t xml:space="preserve"> changes (</w:t>
      </w:r>
      <w:r w:rsidRPr="009345EE">
        <w:rPr>
          <w:rFonts w:cs="Times New Roman"/>
        </w:rPr>
        <w:t>∆</w:t>
      </w:r>
      <w:r w:rsidRPr="009345EE">
        <w:t xml:space="preserve">) in </w:t>
      </w:r>
      <w:r>
        <w:t xml:space="preserve">skin temperatures </w:t>
      </w:r>
      <w:r w:rsidRPr="009345EE">
        <w:t xml:space="preserve">were calculated </w:t>
      </w:r>
      <w:r>
        <w:t xml:space="preserve">as the difference between cold exposure or fasting condition minus </w:t>
      </w:r>
      <w:r w:rsidRPr="009345EE">
        <w:t xml:space="preserve">energy balance </w:t>
      </w:r>
      <w:r>
        <w:t>condition</w:t>
      </w:r>
      <w:r w:rsidRPr="009345EE">
        <w:t>.</w:t>
      </w:r>
    </w:p>
    <w:p w:rsidR="00697F76" w:rsidRDefault="00697F76" w:rsidP="004D1009">
      <w:r w:rsidRPr="00697F76">
        <w:t xml:space="preserve">Greater </w:t>
      </w:r>
      <w:r>
        <w:t>percentage body fat</w:t>
      </w:r>
      <w:r w:rsidRPr="00697F76">
        <w:t xml:space="preserve"> was associated with less decrease in distal-skin temperature (</w:t>
      </w:r>
      <w:r>
        <w:t>panel A</w:t>
      </w:r>
      <w:r w:rsidRPr="00697F76">
        <w:t>) and less increase in the central- to distal-skin temperature gradient (</w:t>
      </w:r>
      <w:r>
        <w:t>panel B</w:t>
      </w:r>
      <w:r w:rsidRPr="00697F76">
        <w:t xml:space="preserve">) during </w:t>
      </w:r>
      <w:r>
        <w:t>cold exposure</w:t>
      </w:r>
      <w:r w:rsidRPr="00697F76">
        <w:t xml:space="preserve">. Greater percentage body fat was </w:t>
      </w:r>
      <w:r>
        <w:t xml:space="preserve">also </w:t>
      </w:r>
      <w:r w:rsidRPr="00697F76">
        <w:t xml:space="preserve">associated with less decrease in </w:t>
      </w:r>
      <w:r>
        <w:t>total</w:t>
      </w:r>
      <w:r w:rsidRPr="00697F76">
        <w:t xml:space="preserve">-skin temperature (panel </w:t>
      </w:r>
      <w:r>
        <w:t>C</w:t>
      </w:r>
      <w:r w:rsidRPr="00697F76">
        <w:t xml:space="preserve">) and less increase in distal-skin temperature (panel </w:t>
      </w:r>
      <w:r>
        <w:t>D</w:t>
      </w:r>
      <w:r w:rsidRPr="00697F76">
        <w:t xml:space="preserve">) during </w:t>
      </w:r>
      <w:r>
        <w:t>fasting</w:t>
      </w:r>
      <w:r w:rsidRPr="00697F76">
        <w:t>.</w:t>
      </w:r>
    </w:p>
    <w:p w:rsidR="004D1009" w:rsidRDefault="004D1009" w:rsidP="004D1009">
      <w:r>
        <w:br w:type="page"/>
      </w:r>
    </w:p>
    <w:p w:rsidR="004D1009" w:rsidRDefault="004D1009" w:rsidP="004D1009">
      <w:pPr>
        <w:sectPr w:rsidR="004D1009">
          <w:head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D6DC9" w:rsidRPr="00FD1D52" w:rsidRDefault="00ED6DC9" w:rsidP="00ED6DC9">
      <w:pPr>
        <w:pStyle w:val="berschrift2"/>
      </w:pPr>
      <w:bookmarkStart w:id="12" w:name="_Toc35376097"/>
      <w:r>
        <w:lastRenderedPageBreak/>
        <w:t xml:space="preserve">Supplemental Table </w:t>
      </w:r>
      <w:r w:rsidR="00707B34">
        <w:t>1</w:t>
      </w:r>
      <w:r>
        <w:t>. Changes in body temperatures</w:t>
      </w:r>
      <w:r w:rsidRPr="00C53BA5">
        <w:t xml:space="preserve"> </w:t>
      </w:r>
      <w:r>
        <w:t>during 24-h cold exposure in isocaloric conditions and fasting at thermoneutrality.</w:t>
      </w:r>
      <w:bookmarkEnd w:id="12"/>
    </w:p>
    <w:tbl>
      <w:tblPr>
        <w:tblStyle w:val="TabellemithellemGitternetz"/>
        <w:tblW w:w="13799" w:type="dxa"/>
        <w:tblInd w:w="-42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50"/>
        <w:gridCol w:w="1589"/>
        <w:gridCol w:w="1559"/>
        <w:gridCol w:w="1561"/>
        <w:gridCol w:w="1771"/>
        <w:gridCol w:w="1170"/>
        <w:gridCol w:w="2070"/>
        <w:gridCol w:w="1229"/>
      </w:tblGrid>
      <w:tr w:rsidR="00ED6DC9" w:rsidRPr="00AC289B" w:rsidTr="009D5AFD">
        <w:trPr>
          <w:trHeight w:val="314"/>
        </w:trPr>
        <w:tc>
          <w:tcPr>
            <w:tcW w:w="2850" w:type="dxa"/>
          </w:tcPr>
          <w:p w:rsidR="00ED6DC9" w:rsidRPr="006E34B5" w:rsidRDefault="00ED6DC9" w:rsidP="009D5AFD">
            <w:pPr>
              <w:spacing w:before="120" w:after="120" w:line="240" w:lineRule="auto"/>
              <w:jc w:val="left"/>
            </w:pPr>
          </w:p>
        </w:tc>
        <w:tc>
          <w:tcPr>
            <w:tcW w:w="1589" w:type="dxa"/>
            <w:vAlign w:val="center"/>
          </w:tcPr>
          <w:p w:rsidR="00ED6DC9" w:rsidRPr="006E34B5" w:rsidRDefault="00ED6DC9" w:rsidP="009D5AFD">
            <w:pPr>
              <w:spacing w:before="120" w:after="120" w:line="240" w:lineRule="auto"/>
              <w:jc w:val="center"/>
              <w:rPr>
                <w:smallCaps/>
              </w:rPr>
            </w:pPr>
            <w:r w:rsidRPr="006E34B5">
              <w:rPr>
                <w:smallCaps/>
              </w:rPr>
              <w:t>Energy balance</w:t>
            </w:r>
          </w:p>
        </w:tc>
        <w:tc>
          <w:tcPr>
            <w:tcW w:w="1559" w:type="dxa"/>
            <w:vAlign w:val="center"/>
          </w:tcPr>
          <w:p w:rsidR="00ED6DC9" w:rsidRPr="006E34B5" w:rsidRDefault="00ED6DC9" w:rsidP="009D5AFD">
            <w:pPr>
              <w:spacing w:before="120" w:after="120" w:line="240" w:lineRule="auto"/>
              <w:jc w:val="center"/>
              <w:rPr>
                <w:smallCaps/>
              </w:rPr>
            </w:pPr>
            <w:r w:rsidRPr="006E34B5">
              <w:rPr>
                <w:smallCaps/>
              </w:rPr>
              <w:t>Cold exposure</w:t>
            </w:r>
          </w:p>
        </w:tc>
        <w:tc>
          <w:tcPr>
            <w:tcW w:w="1561" w:type="dxa"/>
            <w:vAlign w:val="center"/>
          </w:tcPr>
          <w:p w:rsidR="00ED6DC9" w:rsidRPr="006E34B5" w:rsidRDefault="00ED6DC9" w:rsidP="009D5AFD">
            <w:pPr>
              <w:spacing w:before="120" w:after="120" w:line="240" w:lineRule="auto"/>
              <w:jc w:val="center"/>
              <w:rPr>
                <w:smallCaps/>
              </w:rPr>
            </w:pPr>
            <w:r w:rsidRPr="006E34B5">
              <w:rPr>
                <w:smallCaps/>
              </w:rPr>
              <w:t>Fasting</w:t>
            </w:r>
          </w:p>
        </w:tc>
        <w:tc>
          <w:tcPr>
            <w:tcW w:w="1771" w:type="dxa"/>
            <w:vAlign w:val="center"/>
          </w:tcPr>
          <w:p w:rsidR="00ED6DC9" w:rsidRPr="006E34B5" w:rsidRDefault="00ED6DC9" w:rsidP="009D5AFD">
            <w:pPr>
              <w:spacing w:before="120" w:after="120" w:line="240" w:lineRule="auto"/>
              <w:jc w:val="center"/>
              <w:rPr>
                <w:smallCaps/>
              </w:rPr>
            </w:pPr>
            <w:r w:rsidRPr="00E52865">
              <w:rPr>
                <w:smallCaps/>
              </w:rPr>
              <w:t xml:space="preserve">Δ </w:t>
            </w:r>
            <w:r w:rsidRPr="000532DB">
              <w:rPr>
                <w:smallCaps/>
              </w:rPr>
              <w:t>Cold exposure</w:t>
            </w:r>
          </w:p>
        </w:tc>
        <w:tc>
          <w:tcPr>
            <w:tcW w:w="1170" w:type="dxa"/>
            <w:vAlign w:val="center"/>
          </w:tcPr>
          <w:p w:rsidR="00ED6DC9" w:rsidRPr="006E34B5" w:rsidRDefault="00ED6DC9" w:rsidP="009D5AFD">
            <w:pPr>
              <w:spacing w:before="120" w:after="120" w:line="240" w:lineRule="auto"/>
              <w:jc w:val="center"/>
              <w:rPr>
                <w:smallCaps/>
              </w:rPr>
            </w:pPr>
            <w:r w:rsidRPr="009416F4">
              <w:rPr>
                <w:smallCaps/>
              </w:rPr>
              <w:t>P-value</w:t>
            </w:r>
          </w:p>
        </w:tc>
        <w:tc>
          <w:tcPr>
            <w:tcW w:w="2070" w:type="dxa"/>
            <w:vAlign w:val="center"/>
          </w:tcPr>
          <w:p w:rsidR="00ED6DC9" w:rsidRPr="006E34B5" w:rsidRDefault="00ED6DC9" w:rsidP="009D5AFD">
            <w:pPr>
              <w:spacing w:before="120" w:after="120" w:line="240" w:lineRule="auto"/>
              <w:jc w:val="center"/>
              <w:rPr>
                <w:smallCaps/>
              </w:rPr>
            </w:pPr>
            <w:r w:rsidRPr="00E52865">
              <w:rPr>
                <w:smallCaps/>
              </w:rPr>
              <w:t xml:space="preserve">Δ </w:t>
            </w:r>
            <w:r w:rsidRPr="000532DB">
              <w:rPr>
                <w:smallCaps/>
              </w:rPr>
              <w:t>fasting</w:t>
            </w:r>
          </w:p>
        </w:tc>
        <w:tc>
          <w:tcPr>
            <w:tcW w:w="1229" w:type="dxa"/>
            <w:vAlign w:val="center"/>
          </w:tcPr>
          <w:p w:rsidR="00ED6DC9" w:rsidRPr="006E34B5" w:rsidRDefault="00ED6DC9" w:rsidP="009D5AFD">
            <w:pPr>
              <w:spacing w:before="120" w:after="120" w:line="240" w:lineRule="auto"/>
              <w:jc w:val="center"/>
              <w:rPr>
                <w:smallCaps/>
              </w:rPr>
            </w:pPr>
            <w:r w:rsidRPr="009416F4">
              <w:rPr>
                <w:smallCaps/>
              </w:rPr>
              <w:t>P-value</w:t>
            </w:r>
          </w:p>
        </w:tc>
      </w:tr>
      <w:tr w:rsidR="00ED6DC9" w:rsidRPr="00AC289B" w:rsidTr="009D5AFD">
        <w:trPr>
          <w:trHeight w:val="256"/>
        </w:trPr>
        <w:tc>
          <w:tcPr>
            <w:tcW w:w="2850" w:type="dxa"/>
            <w:vAlign w:val="center"/>
          </w:tcPr>
          <w:p w:rsidR="00ED6DC9" w:rsidRPr="006300DF" w:rsidRDefault="00ED6DC9" w:rsidP="009D5AFD">
            <w:pPr>
              <w:spacing w:before="120" w:after="120" w:line="240" w:lineRule="auto"/>
              <w:jc w:val="left"/>
              <w:rPr>
                <w:color w:val="000000" w:themeColor="text1"/>
                <w:kern w:val="24"/>
              </w:rPr>
            </w:pPr>
            <w:r w:rsidRPr="006E34B5">
              <w:rPr>
                <w:color w:val="000000" w:themeColor="text1"/>
                <w:kern w:val="24"/>
              </w:rPr>
              <w:t>Core</w:t>
            </w:r>
            <w:r>
              <w:rPr>
                <w:color w:val="000000" w:themeColor="text1"/>
                <w:kern w:val="24"/>
              </w:rPr>
              <w:t>-</w:t>
            </w:r>
            <w:r w:rsidRPr="006E34B5">
              <w:rPr>
                <w:color w:val="000000" w:themeColor="text1"/>
                <w:kern w:val="24"/>
              </w:rPr>
              <w:t>body temperature</w:t>
            </w:r>
            <w:r>
              <w:rPr>
                <w:color w:val="000000" w:themeColor="text1"/>
                <w:kern w:val="24"/>
              </w:rPr>
              <w:t xml:space="preserve"> (</w:t>
            </w:r>
            <w:r w:rsidRPr="00096B1D">
              <w:rPr>
                <w:color w:val="000000" w:themeColor="text1"/>
                <w:kern w:val="24"/>
              </w:rPr>
              <w:t>°C</w:t>
            </w:r>
            <w:r>
              <w:rPr>
                <w:color w:val="000000" w:themeColor="text1"/>
                <w:kern w:val="24"/>
              </w:rPr>
              <w:t>)</w:t>
            </w:r>
            <w:r w:rsidRPr="00C30263">
              <w:rPr>
                <w:color w:val="000000" w:themeColor="text1"/>
                <w:kern w:val="24"/>
                <w:vertAlign w:val="superscript"/>
              </w:rPr>
              <w:t>1</w:t>
            </w:r>
          </w:p>
        </w:tc>
        <w:tc>
          <w:tcPr>
            <w:tcW w:w="1589" w:type="dxa"/>
            <w:vAlign w:val="center"/>
          </w:tcPr>
          <w:p w:rsidR="00ED6DC9" w:rsidRPr="005A5E6E" w:rsidRDefault="00ED6DC9" w:rsidP="009D5AFD">
            <w:pPr>
              <w:spacing w:after="0" w:line="240" w:lineRule="auto"/>
              <w:jc w:val="center"/>
              <w:rPr>
                <w:color w:val="000000"/>
              </w:rPr>
            </w:pPr>
            <w:r w:rsidRPr="007B3CDB">
              <w:rPr>
                <w:color w:val="000000"/>
              </w:rPr>
              <w:t>37.04 ± 0.26</w:t>
            </w:r>
            <w:r w:rsidRPr="007B3CDB">
              <w:rPr>
                <w:color w:val="000000"/>
              </w:rPr>
              <w:br/>
              <w:t xml:space="preserve"> (36.73, 37.84)</w:t>
            </w:r>
          </w:p>
        </w:tc>
        <w:tc>
          <w:tcPr>
            <w:tcW w:w="1559" w:type="dxa"/>
            <w:vAlign w:val="center"/>
          </w:tcPr>
          <w:p w:rsidR="00ED6DC9" w:rsidRPr="005A5E6E" w:rsidRDefault="00ED6DC9" w:rsidP="009D5AFD">
            <w:pPr>
              <w:spacing w:after="0" w:line="240" w:lineRule="auto"/>
              <w:jc w:val="center"/>
              <w:rPr>
                <w:color w:val="000000"/>
              </w:rPr>
            </w:pPr>
            <w:r w:rsidRPr="007B3CDB">
              <w:rPr>
                <w:color w:val="000000"/>
              </w:rPr>
              <w:t>36.95 ± 0.19</w:t>
            </w:r>
            <w:r w:rsidRPr="007B3CDB">
              <w:rPr>
                <w:color w:val="000000"/>
              </w:rPr>
              <w:br/>
              <w:t xml:space="preserve"> (36.62, 37.31)</w:t>
            </w:r>
          </w:p>
        </w:tc>
        <w:tc>
          <w:tcPr>
            <w:tcW w:w="1561" w:type="dxa"/>
            <w:vAlign w:val="center"/>
          </w:tcPr>
          <w:p w:rsidR="00ED6DC9" w:rsidRPr="005A5E6E" w:rsidRDefault="00ED6DC9" w:rsidP="009D5AFD">
            <w:pPr>
              <w:spacing w:after="0" w:line="240" w:lineRule="auto"/>
              <w:jc w:val="center"/>
              <w:rPr>
                <w:color w:val="000000"/>
              </w:rPr>
            </w:pPr>
            <w:r w:rsidRPr="007B3CDB">
              <w:rPr>
                <w:color w:val="000000"/>
              </w:rPr>
              <w:t>36.95 ± 0.23</w:t>
            </w:r>
            <w:r w:rsidRPr="007B3CDB">
              <w:rPr>
                <w:color w:val="000000"/>
              </w:rPr>
              <w:br/>
              <w:t xml:space="preserve"> (36.63, 37.4)</w:t>
            </w:r>
          </w:p>
        </w:tc>
        <w:tc>
          <w:tcPr>
            <w:tcW w:w="1771" w:type="dxa"/>
            <w:vAlign w:val="center"/>
          </w:tcPr>
          <w:p w:rsidR="00ED6DC9" w:rsidRPr="005A5E6E" w:rsidRDefault="00ED6DC9" w:rsidP="009D5AF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–</w:t>
            </w:r>
            <w:r w:rsidRPr="007B3CDB">
              <w:rPr>
                <w:color w:val="000000"/>
              </w:rPr>
              <w:t>0.11 ± 0.25</w:t>
            </w:r>
            <w:r w:rsidRPr="007B3CDB">
              <w:rPr>
                <w:color w:val="000000"/>
              </w:rPr>
              <w:br/>
              <w:t xml:space="preserve"> (</w:t>
            </w:r>
            <w:r>
              <w:rPr>
                <w:color w:val="000000"/>
              </w:rPr>
              <w:t>–</w:t>
            </w:r>
            <w:r w:rsidRPr="007B3CDB">
              <w:rPr>
                <w:color w:val="000000"/>
              </w:rPr>
              <w:t>0.23, 0.02)</w:t>
            </w:r>
          </w:p>
        </w:tc>
        <w:tc>
          <w:tcPr>
            <w:tcW w:w="1170" w:type="dxa"/>
            <w:vAlign w:val="center"/>
          </w:tcPr>
          <w:p w:rsidR="00ED6DC9" w:rsidRPr="005A5E6E" w:rsidRDefault="00ED6DC9" w:rsidP="009D5AF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B3CDB">
              <w:rPr>
                <w:color w:val="000000"/>
              </w:rPr>
              <w:t>0.09</w:t>
            </w:r>
          </w:p>
        </w:tc>
        <w:tc>
          <w:tcPr>
            <w:tcW w:w="2070" w:type="dxa"/>
            <w:vAlign w:val="center"/>
          </w:tcPr>
          <w:p w:rsidR="00ED6DC9" w:rsidRPr="005A5E6E" w:rsidRDefault="00ED6DC9" w:rsidP="009D5AF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Pr="007B3CDB">
              <w:rPr>
                <w:color w:val="000000"/>
              </w:rPr>
              <w:t>0.08 ± 0.3</w:t>
            </w:r>
            <w:r w:rsidR="00692381">
              <w:rPr>
                <w:color w:val="000000"/>
              </w:rPr>
              <w:t>0</w:t>
            </w:r>
            <w:r w:rsidRPr="007B3CDB">
              <w:rPr>
                <w:color w:val="000000"/>
              </w:rPr>
              <w:br/>
              <w:t xml:space="preserve"> (</w:t>
            </w:r>
            <w:r>
              <w:rPr>
                <w:color w:val="000000"/>
              </w:rPr>
              <w:t>–</w:t>
            </w:r>
            <w:r w:rsidRPr="007B3CDB">
              <w:rPr>
                <w:color w:val="000000"/>
              </w:rPr>
              <w:t>0.23, 0.06)</w:t>
            </w:r>
          </w:p>
        </w:tc>
        <w:tc>
          <w:tcPr>
            <w:tcW w:w="1229" w:type="dxa"/>
            <w:vAlign w:val="center"/>
          </w:tcPr>
          <w:p w:rsidR="00ED6DC9" w:rsidRPr="005A5E6E" w:rsidRDefault="00ED6DC9" w:rsidP="009D5AFD">
            <w:pPr>
              <w:spacing w:after="0" w:line="240" w:lineRule="auto"/>
              <w:jc w:val="center"/>
              <w:rPr>
                <w:color w:val="000000"/>
              </w:rPr>
            </w:pPr>
            <w:r w:rsidRPr="007B3CDB">
              <w:rPr>
                <w:color w:val="000000"/>
              </w:rPr>
              <w:t>0.23</w:t>
            </w:r>
          </w:p>
        </w:tc>
      </w:tr>
      <w:tr w:rsidR="00ED6DC9" w:rsidRPr="00AC289B" w:rsidTr="009D5AFD">
        <w:trPr>
          <w:trHeight w:val="256"/>
        </w:trPr>
        <w:tc>
          <w:tcPr>
            <w:tcW w:w="2850" w:type="dxa"/>
            <w:vAlign w:val="center"/>
          </w:tcPr>
          <w:p w:rsidR="00ED6DC9" w:rsidRPr="006300DF" w:rsidRDefault="00ED6DC9" w:rsidP="009D5AFD">
            <w:pPr>
              <w:spacing w:before="120" w:after="120" w:line="240" w:lineRule="auto"/>
              <w:jc w:val="left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Total-body s</w:t>
            </w:r>
            <w:r w:rsidRPr="006E34B5">
              <w:rPr>
                <w:color w:val="000000" w:themeColor="text1"/>
                <w:kern w:val="24"/>
              </w:rPr>
              <w:t>kin temperature</w:t>
            </w:r>
            <w:r>
              <w:rPr>
                <w:color w:val="000000" w:themeColor="text1"/>
                <w:kern w:val="24"/>
              </w:rPr>
              <w:t xml:space="preserve"> (</w:t>
            </w:r>
            <w:r w:rsidRPr="00096B1D">
              <w:rPr>
                <w:color w:val="000000" w:themeColor="text1"/>
                <w:kern w:val="24"/>
              </w:rPr>
              <w:t>°C</w:t>
            </w:r>
            <w:r>
              <w:rPr>
                <w:color w:val="000000" w:themeColor="text1"/>
                <w:kern w:val="24"/>
              </w:rPr>
              <w:t>)</w:t>
            </w:r>
            <w:r>
              <w:rPr>
                <w:color w:val="000000" w:themeColor="text1"/>
                <w:kern w:val="24"/>
                <w:vertAlign w:val="superscript"/>
              </w:rPr>
              <w:t>2</w:t>
            </w:r>
          </w:p>
        </w:tc>
        <w:tc>
          <w:tcPr>
            <w:tcW w:w="1589" w:type="dxa"/>
            <w:vAlign w:val="center"/>
          </w:tcPr>
          <w:p w:rsidR="00ED6DC9" w:rsidRPr="007B3CDB" w:rsidRDefault="00ED6DC9" w:rsidP="009D5AFD">
            <w:pPr>
              <w:spacing w:after="0" w:line="240" w:lineRule="auto"/>
              <w:jc w:val="center"/>
              <w:rPr>
                <w:color w:val="000000"/>
              </w:rPr>
            </w:pPr>
            <w:r w:rsidRPr="007B3CDB">
              <w:rPr>
                <w:color w:val="000000"/>
              </w:rPr>
              <w:t>33.56 ± 0.36</w:t>
            </w:r>
          </w:p>
          <w:p w:rsidR="00ED6DC9" w:rsidRPr="005A5E6E" w:rsidRDefault="00ED6DC9" w:rsidP="009D5AFD">
            <w:pPr>
              <w:spacing w:after="0" w:line="240" w:lineRule="auto"/>
              <w:jc w:val="center"/>
              <w:rPr>
                <w:color w:val="000000"/>
              </w:rPr>
            </w:pPr>
            <w:r w:rsidRPr="007B3CDB">
              <w:rPr>
                <w:color w:val="000000"/>
              </w:rPr>
              <w:t xml:space="preserve"> (32.86, 34.37)</w:t>
            </w:r>
          </w:p>
        </w:tc>
        <w:tc>
          <w:tcPr>
            <w:tcW w:w="1559" w:type="dxa"/>
            <w:vAlign w:val="center"/>
          </w:tcPr>
          <w:p w:rsidR="00ED6DC9" w:rsidRPr="007B3CDB" w:rsidRDefault="00ED6DC9" w:rsidP="009D5AFD">
            <w:pPr>
              <w:spacing w:after="0" w:line="240" w:lineRule="auto"/>
              <w:jc w:val="center"/>
              <w:rPr>
                <w:color w:val="000000"/>
              </w:rPr>
            </w:pPr>
            <w:r w:rsidRPr="007B3CDB">
              <w:rPr>
                <w:color w:val="000000"/>
              </w:rPr>
              <w:t>33.1 ± 0.49</w:t>
            </w:r>
          </w:p>
          <w:p w:rsidR="00ED6DC9" w:rsidRPr="005A5E6E" w:rsidRDefault="00ED6DC9" w:rsidP="009D5AFD">
            <w:pPr>
              <w:spacing w:after="0" w:line="240" w:lineRule="auto"/>
              <w:jc w:val="center"/>
              <w:rPr>
                <w:color w:val="000000"/>
              </w:rPr>
            </w:pPr>
            <w:r w:rsidRPr="007B3CDB">
              <w:rPr>
                <w:color w:val="000000"/>
              </w:rPr>
              <w:t xml:space="preserve"> (32.09, 34.03)</w:t>
            </w:r>
          </w:p>
        </w:tc>
        <w:tc>
          <w:tcPr>
            <w:tcW w:w="1561" w:type="dxa"/>
            <w:vAlign w:val="center"/>
          </w:tcPr>
          <w:p w:rsidR="00ED6DC9" w:rsidRPr="007B3CDB" w:rsidRDefault="00ED6DC9" w:rsidP="009D5AFD">
            <w:pPr>
              <w:spacing w:after="0" w:line="240" w:lineRule="auto"/>
              <w:jc w:val="center"/>
              <w:rPr>
                <w:color w:val="000000"/>
              </w:rPr>
            </w:pPr>
            <w:r w:rsidRPr="007B3CDB">
              <w:rPr>
                <w:color w:val="000000"/>
              </w:rPr>
              <w:t>33.64 ± 0.31</w:t>
            </w:r>
          </w:p>
          <w:p w:rsidR="00ED6DC9" w:rsidRPr="005A5E6E" w:rsidRDefault="00ED6DC9" w:rsidP="009D5AFD">
            <w:pPr>
              <w:spacing w:after="0" w:line="240" w:lineRule="auto"/>
              <w:jc w:val="center"/>
              <w:rPr>
                <w:color w:val="000000"/>
              </w:rPr>
            </w:pPr>
            <w:r w:rsidRPr="007B3CDB">
              <w:rPr>
                <w:color w:val="000000"/>
              </w:rPr>
              <w:t xml:space="preserve"> (33.1, 34.23)</w:t>
            </w:r>
          </w:p>
        </w:tc>
        <w:tc>
          <w:tcPr>
            <w:tcW w:w="1771" w:type="dxa"/>
            <w:vAlign w:val="center"/>
          </w:tcPr>
          <w:p w:rsidR="00ED6DC9" w:rsidRPr="005A5E6E" w:rsidRDefault="00ED6DC9" w:rsidP="009D5AF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7B3CDB">
              <w:rPr>
                <w:b/>
                <w:color w:val="000000"/>
              </w:rPr>
              <w:t>0.49 ± 0.47</w:t>
            </w:r>
            <w:r w:rsidRPr="007B3CDB">
              <w:rPr>
                <w:b/>
                <w:color w:val="000000"/>
              </w:rPr>
              <w:br/>
              <w:t xml:space="preserve"> (</w:t>
            </w:r>
            <w:r>
              <w:rPr>
                <w:b/>
                <w:color w:val="000000"/>
              </w:rPr>
              <w:t>–</w:t>
            </w:r>
            <w:r w:rsidRPr="007B3CDB">
              <w:rPr>
                <w:b/>
                <w:color w:val="000000"/>
              </w:rPr>
              <w:t xml:space="preserve">0.75, </w:t>
            </w:r>
            <w:r>
              <w:rPr>
                <w:b/>
                <w:color w:val="000000"/>
              </w:rPr>
              <w:t>–</w:t>
            </w:r>
            <w:r w:rsidRPr="007B3CDB">
              <w:rPr>
                <w:b/>
                <w:color w:val="000000"/>
              </w:rPr>
              <w:t>0.23)</w:t>
            </w:r>
          </w:p>
        </w:tc>
        <w:tc>
          <w:tcPr>
            <w:tcW w:w="1170" w:type="dxa"/>
            <w:vAlign w:val="center"/>
          </w:tcPr>
          <w:p w:rsidR="00ED6DC9" w:rsidRPr="005A5E6E" w:rsidRDefault="00ED6DC9" w:rsidP="009D5AF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B3CDB">
              <w:rPr>
                <w:b/>
                <w:color w:val="000000"/>
              </w:rPr>
              <w:t>0.001</w:t>
            </w:r>
          </w:p>
        </w:tc>
        <w:tc>
          <w:tcPr>
            <w:tcW w:w="2070" w:type="dxa"/>
            <w:vAlign w:val="center"/>
          </w:tcPr>
          <w:p w:rsidR="00ED6DC9" w:rsidRPr="005A5E6E" w:rsidRDefault="00ED6DC9" w:rsidP="009D5AFD">
            <w:pPr>
              <w:spacing w:after="0" w:line="240" w:lineRule="auto"/>
              <w:jc w:val="center"/>
              <w:rPr>
                <w:color w:val="000000"/>
              </w:rPr>
            </w:pPr>
            <w:r w:rsidRPr="007B3CDB">
              <w:rPr>
                <w:color w:val="000000"/>
              </w:rPr>
              <w:t>0.08 ± 0.35</w:t>
            </w:r>
            <w:r w:rsidRPr="007B3CDB">
              <w:rPr>
                <w:color w:val="000000"/>
              </w:rPr>
              <w:br/>
              <w:t xml:space="preserve"> (</w:t>
            </w:r>
            <w:r>
              <w:rPr>
                <w:color w:val="000000"/>
              </w:rPr>
              <w:t>–</w:t>
            </w:r>
            <w:r w:rsidRPr="007B3CDB">
              <w:rPr>
                <w:color w:val="000000"/>
              </w:rPr>
              <w:t>0.09, 0.25)</w:t>
            </w:r>
          </w:p>
        </w:tc>
        <w:tc>
          <w:tcPr>
            <w:tcW w:w="1229" w:type="dxa"/>
            <w:vAlign w:val="center"/>
          </w:tcPr>
          <w:p w:rsidR="00ED6DC9" w:rsidRPr="005A5E6E" w:rsidRDefault="00ED6DC9" w:rsidP="009D5AFD">
            <w:pPr>
              <w:spacing w:after="0" w:line="240" w:lineRule="auto"/>
              <w:jc w:val="center"/>
              <w:rPr>
                <w:color w:val="000000"/>
              </w:rPr>
            </w:pPr>
            <w:r w:rsidRPr="007B3CDB">
              <w:rPr>
                <w:color w:val="000000"/>
              </w:rPr>
              <w:t>0.35</w:t>
            </w:r>
          </w:p>
        </w:tc>
      </w:tr>
      <w:tr w:rsidR="00ED6DC9" w:rsidRPr="00AC289B" w:rsidTr="009D5AFD">
        <w:trPr>
          <w:trHeight w:val="256"/>
        </w:trPr>
        <w:tc>
          <w:tcPr>
            <w:tcW w:w="2850" w:type="dxa"/>
            <w:vAlign w:val="center"/>
          </w:tcPr>
          <w:p w:rsidR="00ED6DC9" w:rsidRPr="006300DF" w:rsidRDefault="00ED6DC9" w:rsidP="009D5AFD">
            <w:pPr>
              <w:spacing w:before="120" w:after="120" w:line="240" w:lineRule="auto"/>
              <w:jc w:val="left"/>
              <w:rPr>
                <w:color w:val="000000" w:themeColor="text1"/>
                <w:kern w:val="24"/>
              </w:rPr>
            </w:pPr>
            <w:r w:rsidRPr="00975173">
              <w:rPr>
                <w:color w:val="000000" w:themeColor="text1"/>
                <w:kern w:val="24"/>
              </w:rPr>
              <w:t>Central</w:t>
            </w:r>
            <w:r>
              <w:rPr>
                <w:color w:val="000000" w:themeColor="text1"/>
                <w:kern w:val="24"/>
              </w:rPr>
              <w:t>-</w:t>
            </w:r>
            <w:r w:rsidRPr="00975173">
              <w:rPr>
                <w:color w:val="000000" w:themeColor="text1"/>
                <w:kern w:val="24"/>
              </w:rPr>
              <w:t>skin temperature (°C)</w:t>
            </w:r>
            <w:r>
              <w:rPr>
                <w:color w:val="000000" w:themeColor="text1"/>
                <w:kern w:val="24"/>
                <w:vertAlign w:val="superscript"/>
              </w:rPr>
              <w:t>2</w:t>
            </w:r>
          </w:p>
        </w:tc>
        <w:tc>
          <w:tcPr>
            <w:tcW w:w="1589" w:type="dxa"/>
            <w:vAlign w:val="center"/>
          </w:tcPr>
          <w:p w:rsidR="00ED6DC9" w:rsidRPr="005A5E6E" w:rsidRDefault="00ED6DC9" w:rsidP="009D5AFD">
            <w:pPr>
              <w:spacing w:after="0" w:line="240" w:lineRule="auto"/>
              <w:jc w:val="center"/>
              <w:rPr>
                <w:color w:val="000000"/>
              </w:rPr>
            </w:pPr>
            <w:r w:rsidRPr="007B3CDB">
              <w:rPr>
                <w:color w:val="000000"/>
              </w:rPr>
              <w:t>34.08 ± 0.42</w:t>
            </w:r>
            <w:r w:rsidRPr="007B3CDB">
              <w:rPr>
                <w:color w:val="000000"/>
              </w:rPr>
              <w:br/>
              <w:t xml:space="preserve"> (33.42, 34.92)</w:t>
            </w:r>
          </w:p>
        </w:tc>
        <w:tc>
          <w:tcPr>
            <w:tcW w:w="1559" w:type="dxa"/>
            <w:vAlign w:val="center"/>
          </w:tcPr>
          <w:p w:rsidR="00ED6DC9" w:rsidRPr="005A5E6E" w:rsidRDefault="00ED6DC9" w:rsidP="009D5AFD">
            <w:pPr>
              <w:spacing w:after="0" w:line="240" w:lineRule="auto"/>
              <w:jc w:val="center"/>
              <w:rPr>
                <w:color w:val="000000"/>
              </w:rPr>
            </w:pPr>
            <w:r w:rsidRPr="007B3CDB">
              <w:rPr>
                <w:color w:val="000000"/>
              </w:rPr>
              <w:t>33.7 ± 0.7</w:t>
            </w:r>
            <w:r w:rsidRPr="007B3CDB">
              <w:rPr>
                <w:color w:val="000000"/>
              </w:rPr>
              <w:br/>
              <w:t xml:space="preserve"> (32.57, 34.94)</w:t>
            </w:r>
          </w:p>
        </w:tc>
        <w:tc>
          <w:tcPr>
            <w:tcW w:w="1561" w:type="dxa"/>
            <w:vAlign w:val="center"/>
          </w:tcPr>
          <w:p w:rsidR="00ED6DC9" w:rsidRPr="005A5E6E" w:rsidRDefault="00ED6DC9" w:rsidP="009D5AFD">
            <w:pPr>
              <w:spacing w:after="0" w:line="240" w:lineRule="auto"/>
              <w:jc w:val="center"/>
              <w:rPr>
                <w:color w:val="000000"/>
              </w:rPr>
            </w:pPr>
            <w:r w:rsidRPr="007B3CDB">
              <w:rPr>
                <w:color w:val="000000"/>
              </w:rPr>
              <w:t>34.31 ± 0.4</w:t>
            </w:r>
            <w:r w:rsidR="00692381">
              <w:rPr>
                <w:color w:val="000000"/>
              </w:rPr>
              <w:t>0</w:t>
            </w:r>
            <w:r w:rsidRPr="007B3CDB">
              <w:rPr>
                <w:color w:val="000000"/>
              </w:rPr>
              <w:br/>
              <w:t xml:space="preserve"> (33.61, 34.97)</w:t>
            </w:r>
          </w:p>
        </w:tc>
        <w:tc>
          <w:tcPr>
            <w:tcW w:w="1771" w:type="dxa"/>
            <w:vAlign w:val="center"/>
          </w:tcPr>
          <w:p w:rsidR="00ED6DC9" w:rsidRPr="005A5E6E" w:rsidRDefault="00ED6DC9" w:rsidP="009D5AF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7B3CDB">
              <w:rPr>
                <w:b/>
                <w:color w:val="000000"/>
              </w:rPr>
              <w:t>0.35 ± 0.61</w:t>
            </w:r>
            <w:r w:rsidRPr="007B3CDB">
              <w:rPr>
                <w:b/>
                <w:color w:val="000000"/>
              </w:rPr>
              <w:br/>
              <w:t xml:space="preserve"> (</w:t>
            </w:r>
            <w:r>
              <w:rPr>
                <w:b/>
                <w:color w:val="000000"/>
              </w:rPr>
              <w:t>–</w:t>
            </w:r>
            <w:r w:rsidRPr="007B3CDB">
              <w:rPr>
                <w:b/>
                <w:color w:val="000000"/>
              </w:rPr>
              <w:t xml:space="preserve">0.67, </w:t>
            </w:r>
            <w:r>
              <w:rPr>
                <w:b/>
                <w:color w:val="000000"/>
              </w:rPr>
              <w:t>–</w:t>
            </w:r>
            <w:r w:rsidRPr="007B3CDB">
              <w:rPr>
                <w:b/>
                <w:color w:val="000000"/>
              </w:rPr>
              <w:t>0.04)</w:t>
            </w:r>
          </w:p>
        </w:tc>
        <w:tc>
          <w:tcPr>
            <w:tcW w:w="1170" w:type="dxa"/>
            <w:vAlign w:val="center"/>
          </w:tcPr>
          <w:p w:rsidR="00ED6DC9" w:rsidRPr="005A5E6E" w:rsidRDefault="00ED6DC9" w:rsidP="009D5AF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B3CDB">
              <w:rPr>
                <w:b/>
                <w:color w:val="000000"/>
              </w:rPr>
              <w:t>0.03</w:t>
            </w:r>
          </w:p>
        </w:tc>
        <w:tc>
          <w:tcPr>
            <w:tcW w:w="2070" w:type="dxa"/>
            <w:vAlign w:val="center"/>
          </w:tcPr>
          <w:p w:rsidR="00ED6DC9" w:rsidRPr="005A5E6E" w:rsidRDefault="00ED6DC9" w:rsidP="009D5AFD">
            <w:pPr>
              <w:spacing w:after="0" w:line="240" w:lineRule="auto"/>
              <w:jc w:val="center"/>
              <w:rPr>
                <w:color w:val="000000"/>
              </w:rPr>
            </w:pPr>
            <w:r w:rsidRPr="007B3CDB">
              <w:rPr>
                <w:b/>
                <w:color w:val="000000"/>
              </w:rPr>
              <w:t>0.23 ± 0.43</w:t>
            </w:r>
            <w:r w:rsidRPr="007B3CDB">
              <w:rPr>
                <w:b/>
                <w:color w:val="000000"/>
              </w:rPr>
              <w:br/>
              <w:t xml:space="preserve"> (0.02, 0.44)</w:t>
            </w:r>
          </w:p>
        </w:tc>
        <w:tc>
          <w:tcPr>
            <w:tcW w:w="1229" w:type="dxa"/>
            <w:vAlign w:val="center"/>
          </w:tcPr>
          <w:p w:rsidR="00ED6DC9" w:rsidRPr="005A5E6E" w:rsidRDefault="00ED6DC9" w:rsidP="009D5AFD">
            <w:pPr>
              <w:spacing w:after="0" w:line="240" w:lineRule="auto"/>
              <w:jc w:val="center"/>
              <w:rPr>
                <w:color w:val="000000"/>
              </w:rPr>
            </w:pPr>
            <w:r w:rsidRPr="007B3CDB">
              <w:rPr>
                <w:b/>
                <w:color w:val="000000"/>
              </w:rPr>
              <w:t>0.03</w:t>
            </w:r>
          </w:p>
        </w:tc>
      </w:tr>
      <w:tr w:rsidR="00ED6DC9" w:rsidRPr="00AC289B" w:rsidTr="009D5AFD">
        <w:trPr>
          <w:trHeight w:val="256"/>
        </w:trPr>
        <w:tc>
          <w:tcPr>
            <w:tcW w:w="2850" w:type="dxa"/>
            <w:vAlign w:val="center"/>
          </w:tcPr>
          <w:p w:rsidR="00ED6DC9" w:rsidRPr="006300DF" w:rsidRDefault="00ED6DC9" w:rsidP="009D5AFD">
            <w:pPr>
              <w:spacing w:before="120" w:after="120" w:line="240" w:lineRule="auto"/>
              <w:jc w:val="left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Distal-</w:t>
            </w:r>
            <w:r w:rsidRPr="00975173">
              <w:rPr>
                <w:color w:val="000000" w:themeColor="text1"/>
                <w:kern w:val="24"/>
              </w:rPr>
              <w:t>skin temperature (°C)</w:t>
            </w:r>
            <w:r>
              <w:rPr>
                <w:color w:val="000000" w:themeColor="text1"/>
                <w:kern w:val="24"/>
                <w:vertAlign w:val="superscript"/>
              </w:rPr>
              <w:t>2</w:t>
            </w:r>
          </w:p>
        </w:tc>
        <w:tc>
          <w:tcPr>
            <w:tcW w:w="1589" w:type="dxa"/>
            <w:vAlign w:val="center"/>
          </w:tcPr>
          <w:p w:rsidR="00ED6DC9" w:rsidRPr="005A5E6E" w:rsidRDefault="00ED6DC9" w:rsidP="009D5AFD">
            <w:pPr>
              <w:spacing w:after="0" w:line="240" w:lineRule="auto"/>
              <w:jc w:val="center"/>
              <w:rPr>
                <w:color w:val="000000"/>
              </w:rPr>
            </w:pPr>
            <w:r w:rsidRPr="007B3CDB">
              <w:rPr>
                <w:color w:val="000000"/>
              </w:rPr>
              <w:t>32.93 ± 0.58</w:t>
            </w:r>
            <w:r w:rsidRPr="007B3CDB">
              <w:rPr>
                <w:color w:val="000000"/>
              </w:rPr>
              <w:br/>
              <w:t xml:space="preserve"> (31.91, 33.99)</w:t>
            </w:r>
          </w:p>
        </w:tc>
        <w:tc>
          <w:tcPr>
            <w:tcW w:w="1559" w:type="dxa"/>
            <w:vAlign w:val="center"/>
          </w:tcPr>
          <w:p w:rsidR="00ED6DC9" w:rsidRPr="005A5E6E" w:rsidRDefault="00ED6DC9" w:rsidP="009D5AFD">
            <w:pPr>
              <w:spacing w:after="0" w:line="240" w:lineRule="auto"/>
              <w:jc w:val="center"/>
              <w:rPr>
                <w:color w:val="000000"/>
              </w:rPr>
            </w:pPr>
            <w:r w:rsidRPr="007B3CDB">
              <w:rPr>
                <w:color w:val="000000"/>
              </w:rPr>
              <w:t>32.16 ± 0.71</w:t>
            </w:r>
            <w:r w:rsidRPr="007B3CDB">
              <w:rPr>
                <w:color w:val="000000"/>
              </w:rPr>
              <w:br/>
              <w:t xml:space="preserve"> (31.18, 33.34)</w:t>
            </w:r>
          </w:p>
        </w:tc>
        <w:tc>
          <w:tcPr>
            <w:tcW w:w="1561" w:type="dxa"/>
            <w:vAlign w:val="center"/>
          </w:tcPr>
          <w:p w:rsidR="00ED6DC9" w:rsidRPr="005A5E6E" w:rsidRDefault="00ED6DC9" w:rsidP="009D5AFD">
            <w:pPr>
              <w:spacing w:after="0" w:line="240" w:lineRule="auto"/>
              <w:jc w:val="center"/>
              <w:rPr>
                <w:color w:val="000000"/>
              </w:rPr>
            </w:pPr>
            <w:r w:rsidRPr="007B3CDB">
              <w:rPr>
                <w:color w:val="000000"/>
              </w:rPr>
              <w:t>32.87 ± 0.29</w:t>
            </w:r>
            <w:r w:rsidRPr="007B3CDB">
              <w:rPr>
                <w:color w:val="000000"/>
              </w:rPr>
              <w:br/>
              <w:t xml:space="preserve"> (32.45, 33.46)</w:t>
            </w:r>
          </w:p>
        </w:tc>
        <w:tc>
          <w:tcPr>
            <w:tcW w:w="1771" w:type="dxa"/>
            <w:vAlign w:val="center"/>
          </w:tcPr>
          <w:p w:rsidR="00ED6DC9" w:rsidRPr="005A5E6E" w:rsidRDefault="00ED6DC9" w:rsidP="009D5AF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7B3CDB">
              <w:rPr>
                <w:b/>
                <w:color w:val="000000"/>
              </w:rPr>
              <w:t>0.78 ± 0.82</w:t>
            </w:r>
            <w:r w:rsidRPr="007B3CDB">
              <w:rPr>
                <w:b/>
                <w:color w:val="000000"/>
              </w:rPr>
              <w:br/>
              <w:t xml:space="preserve"> (</w:t>
            </w:r>
            <w:r>
              <w:rPr>
                <w:b/>
                <w:color w:val="000000"/>
              </w:rPr>
              <w:t>–</w:t>
            </w:r>
            <w:r w:rsidRPr="007B3CDB">
              <w:rPr>
                <w:b/>
                <w:color w:val="000000"/>
              </w:rPr>
              <w:t xml:space="preserve">1.2, </w:t>
            </w:r>
            <w:r>
              <w:rPr>
                <w:b/>
                <w:color w:val="000000"/>
              </w:rPr>
              <w:t>–</w:t>
            </w:r>
            <w:r w:rsidRPr="007B3CDB">
              <w:rPr>
                <w:b/>
                <w:color w:val="000000"/>
              </w:rPr>
              <w:t>0.36)</w:t>
            </w:r>
          </w:p>
        </w:tc>
        <w:tc>
          <w:tcPr>
            <w:tcW w:w="1170" w:type="dxa"/>
            <w:vAlign w:val="center"/>
          </w:tcPr>
          <w:p w:rsidR="00ED6DC9" w:rsidRPr="005A5E6E" w:rsidRDefault="00ED6DC9" w:rsidP="009D5AF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B3CDB">
              <w:rPr>
                <w:b/>
                <w:color w:val="000000"/>
              </w:rPr>
              <w:t>0.001</w:t>
            </w:r>
          </w:p>
        </w:tc>
        <w:tc>
          <w:tcPr>
            <w:tcW w:w="2070" w:type="dxa"/>
            <w:vAlign w:val="center"/>
          </w:tcPr>
          <w:p w:rsidR="00ED6DC9" w:rsidRPr="005A5E6E" w:rsidRDefault="00ED6DC9" w:rsidP="009D5AF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Pr="007B3CDB">
              <w:rPr>
                <w:color w:val="000000"/>
              </w:rPr>
              <w:t>0.06 ± 0.57</w:t>
            </w:r>
            <w:r w:rsidRPr="007B3CDB">
              <w:rPr>
                <w:color w:val="000000"/>
              </w:rPr>
              <w:br/>
              <w:t xml:space="preserve"> (</w:t>
            </w:r>
            <w:r>
              <w:rPr>
                <w:color w:val="000000"/>
              </w:rPr>
              <w:t>–</w:t>
            </w:r>
            <w:r w:rsidRPr="007B3CDB">
              <w:rPr>
                <w:color w:val="000000"/>
              </w:rPr>
              <w:t>0.33, 0.22)</w:t>
            </w:r>
          </w:p>
        </w:tc>
        <w:tc>
          <w:tcPr>
            <w:tcW w:w="1229" w:type="dxa"/>
            <w:vAlign w:val="center"/>
          </w:tcPr>
          <w:p w:rsidR="00ED6DC9" w:rsidRPr="005A5E6E" w:rsidRDefault="00ED6DC9" w:rsidP="009D5AFD">
            <w:pPr>
              <w:spacing w:after="0" w:line="240" w:lineRule="auto"/>
              <w:jc w:val="center"/>
              <w:rPr>
                <w:color w:val="000000"/>
              </w:rPr>
            </w:pPr>
            <w:r w:rsidRPr="007B3CDB">
              <w:rPr>
                <w:color w:val="000000"/>
              </w:rPr>
              <w:t>0.66</w:t>
            </w:r>
          </w:p>
        </w:tc>
      </w:tr>
      <w:tr w:rsidR="00ED6DC9" w:rsidRPr="00AC289B" w:rsidTr="009D5AFD">
        <w:trPr>
          <w:trHeight w:val="256"/>
        </w:trPr>
        <w:tc>
          <w:tcPr>
            <w:tcW w:w="2850" w:type="dxa"/>
            <w:vAlign w:val="center"/>
          </w:tcPr>
          <w:p w:rsidR="00ED6DC9" w:rsidRPr="006300DF" w:rsidRDefault="00ED6DC9" w:rsidP="009D5AFD">
            <w:pPr>
              <w:spacing w:before="120" w:after="120" w:line="240" w:lineRule="auto"/>
              <w:jc w:val="left"/>
              <w:rPr>
                <w:color w:val="000000" w:themeColor="text1"/>
                <w:kern w:val="24"/>
              </w:rPr>
            </w:pPr>
            <w:r w:rsidRPr="00975173">
              <w:rPr>
                <w:color w:val="000000" w:themeColor="text1"/>
                <w:kern w:val="24"/>
              </w:rPr>
              <w:t>Supraclavicular</w:t>
            </w:r>
            <w:r>
              <w:rPr>
                <w:color w:val="000000" w:themeColor="text1"/>
                <w:kern w:val="24"/>
              </w:rPr>
              <w:t>-</w:t>
            </w:r>
            <w:r w:rsidRPr="00975173">
              <w:rPr>
                <w:color w:val="000000" w:themeColor="text1"/>
                <w:kern w:val="24"/>
              </w:rPr>
              <w:t>skin temp. (°C)</w:t>
            </w:r>
            <w:r>
              <w:rPr>
                <w:color w:val="000000" w:themeColor="text1"/>
                <w:kern w:val="24"/>
                <w:vertAlign w:val="superscript"/>
              </w:rPr>
              <w:t>2</w:t>
            </w:r>
          </w:p>
        </w:tc>
        <w:tc>
          <w:tcPr>
            <w:tcW w:w="1589" w:type="dxa"/>
            <w:vAlign w:val="center"/>
          </w:tcPr>
          <w:p w:rsidR="00ED6DC9" w:rsidRPr="007B3CDB" w:rsidRDefault="00ED6DC9" w:rsidP="009D5AFD">
            <w:pPr>
              <w:spacing w:after="0" w:line="240" w:lineRule="auto"/>
              <w:jc w:val="center"/>
              <w:rPr>
                <w:color w:val="000000"/>
              </w:rPr>
            </w:pPr>
            <w:r w:rsidRPr="007B3CDB">
              <w:rPr>
                <w:color w:val="000000"/>
              </w:rPr>
              <w:t>34.47 ± 0.66</w:t>
            </w:r>
          </w:p>
          <w:p w:rsidR="00ED6DC9" w:rsidRPr="005A5E6E" w:rsidRDefault="00ED6DC9" w:rsidP="009D5AFD">
            <w:pPr>
              <w:spacing w:after="0" w:line="240" w:lineRule="auto"/>
              <w:jc w:val="center"/>
              <w:rPr>
                <w:color w:val="000000"/>
              </w:rPr>
            </w:pPr>
            <w:r w:rsidRPr="007B3CDB">
              <w:rPr>
                <w:color w:val="000000"/>
              </w:rPr>
              <w:t>(33.14, 35.69)</w:t>
            </w:r>
          </w:p>
        </w:tc>
        <w:tc>
          <w:tcPr>
            <w:tcW w:w="1559" w:type="dxa"/>
            <w:vAlign w:val="center"/>
          </w:tcPr>
          <w:p w:rsidR="00ED6DC9" w:rsidRPr="007B3CDB" w:rsidRDefault="00ED6DC9" w:rsidP="009D5AFD">
            <w:pPr>
              <w:spacing w:after="0" w:line="240" w:lineRule="auto"/>
              <w:jc w:val="center"/>
              <w:rPr>
                <w:color w:val="000000"/>
              </w:rPr>
            </w:pPr>
            <w:r w:rsidRPr="007B3CDB">
              <w:rPr>
                <w:color w:val="000000"/>
              </w:rPr>
              <w:t>34.44 ± 0.52</w:t>
            </w:r>
          </w:p>
          <w:p w:rsidR="00ED6DC9" w:rsidRPr="005A5E6E" w:rsidRDefault="00ED6DC9" w:rsidP="009D5AFD">
            <w:pPr>
              <w:spacing w:after="0" w:line="240" w:lineRule="auto"/>
              <w:jc w:val="center"/>
              <w:rPr>
                <w:color w:val="000000"/>
              </w:rPr>
            </w:pPr>
            <w:r w:rsidRPr="007B3CDB">
              <w:rPr>
                <w:color w:val="000000"/>
              </w:rPr>
              <w:t>(33.31, 35.21)</w:t>
            </w:r>
          </w:p>
        </w:tc>
        <w:tc>
          <w:tcPr>
            <w:tcW w:w="1561" w:type="dxa"/>
            <w:vAlign w:val="center"/>
          </w:tcPr>
          <w:p w:rsidR="00ED6DC9" w:rsidRPr="007B3CDB" w:rsidRDefault="00ED6DC9" w:rsidP="009D5AFD">
            <w:pPr>
              <w:spacing w:after="0" w:line="240" w:lineRule="auto"/>
              <w:jc w:val="center"/>
              <w:rPr>
                <w:color w:val="000000"/>
              </w:rPr>
            </w:pPr>
            <w:r w:rsidRPr="007B3CDB">
              <w:rPr>
                <w:color w:val="000000"/>
              </w:rPr>
              <w:t>34.68 ± 0.52</w:t>
            </w:r>
          </w:p>
          <w:p w:rsidR="00ED6DC9" w:rsidRPr="005A5E6E" w:rsidRDefault="00ED6DC9" w:rsidP="009D5AFD">
            <w:pPr>
              <w:spacing w:after="0" w:line="240" w:lineRule="auto"/>
              <w:jc w:val="center"/>
              <w:rPr>
                <w:color w:val="000000"/>
              </w:rPr>
            </w:pPr>
            <w:r w:rsidRPr="007B3CDB">
              <w:rPr>
                <w:color w:val="000000"/>
              </w:rPr>
              <w:t>(33.54, 35.47)</w:t>
            </w:r>
          </w:p>
        </w:tc>
        <w:tc>
          <w:tcPr>
            <w:tcW w:w="1771" w:type="dxa"/>
            <w:vAlign w:val="center"/>
          </w:tcPr>
          <w:p w:rsidR="00ED6DC9" w:rsidRPr="005A5E6E" w:rsidRDefault="00ED6DC9" w:rsidP="009D5AF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–</w:t>
            </w:r>
            <w:r w:rsidRPr="007B3CDB">
              <w:rPr>
                <w:color w:val="000000"/>
              </w:rPr>
              <w:t>0.08 ± 0.72</w:t>
            </w:r>
            <w:r w:rsidRPr="007B3CDB">
              <w:rPr>
                <w:color w:val="000000"/>
              </w:rPr>
              <w:br/>
              <w:t xml:space="preserve"> (</w:t>
            </w:r>
            <w:r>
              <w:rPr>
                <w:color w:val="000000"/>
              </w:rPr>
              <w:t>–</w:t>
            </w:r>
            <w:r w:rsidRPr="007B3CDB">
              <w:rPr>
                <w:color w:val="000000"/>
              </w:rPr>
              <w:t>0.48, 0.32)</w:t>
            </w:r>
          </w:p>
        </w:tc>
        <w:tc>
          <w:tcPr>
            <w:tcW w:w="1170" w:type="dxa"/>
            <w:vAlign w:val="center"/>
          </w:tcPr>
          <w:p w:rsidR="00ED6DC9" w:rsidRPr="005A5E6E" w:rsidRDefault="00ED6DC9" w:rsidP="009D5AF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B3CDB">
              <w:rPr>
                <w:color w:val="000000"/>
              </w:rPr>
              <w:t>0.67</w:t>
            </w:r>
          </w:p>
        </w:tc>
        <w:tc>
          <w:tcPr>
            <w:tcW w:w="2070" w:type="dxa"/>
            <w:vAlign w:val="center"/>
          </w:tcPr>
          <w:p w:rsidR="00ED6DC9" w:rsidRPr="005A5E6E" w:rsidRDefault="00ED6DC9" w:rsidP="009D5AFD">
            <w:pPr>
              <w:spacing w:after="0" w:line="240" w:lineRule="auto"/>
              <w:jc w:val="center"/>
              <w:rPr>
                <w:color w:val="000000"/>
              </w:rPr>
            </w:pPr>
            <w:r w:rsidRPr="007B3CDB">
              <w:rPr>
                <w:color w:val="000000"/>
              </w:rPr>
              <w:t>0.1 ± 0.36</w:t>
            </w:r>
            <w:r w:rsidRPr="007B3CDB">
              <w:rPr>
                <w:color w:val="000000"/>
              </w:rPr>
              <w:br/>
              <w:t xml:space="preserve"> (</w:t>
            </w:r>
            <w:r>
              <w:rPr>
                <w:color w:val="000000"/>
              </w:rPr>
              <w:t>–</w:t>
            </w:r>
            <w:r w:rsidRPr="007B3CDB">
              <w:rPr>
                <w:color w:val="000000"/>
              </w:rPr>
              <w:t>0.08, 0.29)</w:t>
            </w:r>
          </w:p>
        </w:tc>
        <w:tc>
          <w:tcPr>
            <w:tcW w:w="1229" w:type="dxa"/>
            <w:vAlign w:val="center"/>
          </w:tcPr>
          <w:p w:rsidR="00ED6DC9" w:rsidRPr="005A5E6E" w:rsidRDefault="00ED6DC9" w:rsidP="009D5AFD">
            <w:pPr>
              <w:spacing w:after="0" w:line="240" w:lineRule="auto"/>
              <w:jc w:val="center"/>
              <w:rPr>
                <w:color w:val="000000"/>
              </w:rPr>
            </w:pPr>
            <w:r w:rsidRPr="007B3CDB">
              <w:rPr>
                <w:color w:val="000000"/>
              </w:rPr>
              <w:t>0.26</w:t>
            </w:r>
          </w:p>
        </w:tc>
      </w:tr>
      <w:tr w:rsidR="00ED6DC9" w:rsidRPr="00AC289B" w:rsidTr="009D5AFD">
        <w:trPr>
          <w:trHeight w:val="256"/>
        </w:trPr>
        <w:tc>
          <w:tcPr>
            <w:tcW w:w="2850" w:type="dxa"/>
            <w:vAlign w:val="center"/>
          </w:tcPr>
          <w:p w:rsidR="00ED6DC9" w:rsidRPr="006300DF" w:rsidRDefault="00ED6DC9" w:rsidP="009D5AFD">
            <w:pPr>
              <w:spacing w:before="120" w:after="120" w:line="240" w:lineRule="auto"/>
              <w:jc w:val="left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 xml:space="preserve">Temperature gradient (core body – central skin) </w:t>
            </w:r>
            <w:r w:rsidRPr="00975173">
              <w:rPr>
                <w:color w:val="000000" w:themeColor="text1"/>
                <w:kern w:val="24"/>
              </w:rPr>
              <w:t>(°C)</w:t>
            </w:r>
            <w:r>
              <w:rPr>
                <w:color w:val="000000" w:themeColor="text1"/>
                <w:kern w:val="24"/>
                <w:vertAlign w:val="superscript"/>
              </w:rPr>
              <w:t>2</w:t>
            </w:r>
          </w:p>
        </w:tc>
        <w:tc>
          <w:tcPr>
            <w:tcW w:w="1589" w:type="dxa"/>
            <w:vAlign w:val="center"/>
          </w:tcPr>
          <w:p w:rsidR="00ED6DC9" w:rsidRPr="005A5E6E" w:rsidRDefault="00ED6DC9" w:rsidP="009D5AFD">
            <w:pPr>
              <w:spacing w:after="0" w:line="240" w:lineRule="auto"/>
              <w:jc w:val="center"/>
              <w:rPr>
                <w:color w:val="000000"/>
              </w:rPr>
            </w:pPr>
            <w:r w:rsidRPr="007B3CDB">
              <w:rPr>
                <w:color w:val="000000"/>
              </w:rPr>
              <w:t>2.96 ± 0.58</w:t>
            </w:r>
            <w:r w:rsidRPr="007B3CDB">
              <w:rPr>
                <w:color w:val="000000"/>
              </w:rPr>
              <w:br/>
              <w:t xml:space="preserve"> (2.18, 4.31)</w:t>
            </w:r>
          </w:p>
        </w:tc>
        <w:tc>
          <w:tcPr>
            <w:tcW w:w="1559" w:type="dxa"/>
            <w:vAlign w:val="center"/>
          </w:tcPr>
          <w:p w:rsidR="00ED6DC9" w:rsidRPr="005A5E6E" w:rsidRDefault="00ED6DC9" w:rsidP="009D5AFD">
            <w:pPr>
              <w:spacing w:after="0" w:line="240" w:lineRule="auto"/>
              <w:jc w:val="center"/>
              <w:rPr>
                <w:color w:val="000000"/>
              </w:rPr>
            </w:pPr>
            <w:r w:rsidRPr="007B3CDB">
              <w:rPr>
                <w:color w:val="000000"/>
              </w:rPr>
              <w:t>3.25 ± 0.71</w:t>
            </w:r>
            <w:r w:rsidRPr="007B3CDB">
              <w:rPr>
                <w:color w:val="000000"/>
              </w:rPr>
              <w:br/>
              <w:t xml:space="preserve"> (2.36, 4.59)</w:t>
            </w:r>
          </w:p>
        </w:tc>
        <w:tc>
          <w:tcPr>
            <w:tcW w:w="1561" w:type="dxa"/>
            <w:vAlign w:val="center"/>
          </w:tcPr>
          <w:p w:rsidR="00ED6DC9" w:rsidRPr="005A5E6E" w:rsidRDefault="00ED6DC9" w:rsidP="009D5AFD">
            <w:pPr>
              <w:spacing w:after="0" w:line="240" w:lineRule="auto"/>
              <w:jc w:val="center"/>
              <w:rPr>
                <w:color w:val="000000"/>
              </w:rPr>
            </w:pPr>
            <w:r w:rsidRPr="007B3CDB">
              <w:rPr>
                <w:color w:val="000000"/>
              </w:rPr>
              <w:t>2.64 ± 0.33</w:t>
            </w:r>
            <w:r w:rsidRPr="007B3CDB">
              <w:rPr>
                <w:color w:val="000000"/>
              </w:rPr>
              <w:br/>
              <w:t xml:space="preserve"> (2.24, 3.25)</w:t>
            </w:r>
          </w:p>
        </w:tc>
        <w:tc>
          <w:tcPr>
            <w:tcW w:w="1771" w:type="dxa"/>
            <w:vAlign w:val="center"/>
          </w:tcPr>
          <w:p w:rsidR="00ED6DC9" w:rsidRPr="005A5E6E" w:rsidRDefault="00ED6DC9" w:rsidP="009D5AF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B3CDB">
              <w:rPr>
                <w:color w:val="000000"/>
              </w:rPr>
              <w:t>0.26 ± 0.55</w:t>
            </w:r>
            <w:r w:rsidRPr="007B3CDB">
              <w:rPr>
                <w:color w:val="000000"/>
              </w:rPr>
              <w:br/>
              <w:t xml:space="preserve"> (</w:t>
            </w:r>
            <w:r>
              <w:rPr>
                <w:color w:val="000000"/>
              </w:rPr>
              <w:t>–</w:t>
            </w:r>
            <w:r w:rsidRPr="007B3CDB">
              <w:rPr>
                <w:color w:val="000000"/>
              </w:rPr>
              <w:t>0.03, 0.56)</w:t>
            </w:r>
          </w:p>
        </w:tc>
        <w:tc>
          <w:tcPr>
            <w:tcW w:w="1170" w:type="dxa"/>
            <w:vAlign w:val="center"/>
          </w:tcPr>
          <w:p w:rsidR="00ED6DC9" w:rsidRPr="005A5E6E" w:rsidRDefault="00ED6DC9" w:rsidP="009D5AF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B3CDB">
              <w:rPr>
                <w:color w:val="000000"/>
              </w:rPr>
              <w:t>0.08</w:t>
            </w:r>
          </w:p>
        </w:tc>
        <w:tc>
          <w:tcPr>
            <w:tcW w:w="2070" w:type="dxa"/>
            <w:vAlign w:val="center"/>
          </w:tcPr>
          <w:p w:rsidR="00ED6DC9" w:rsidRPr="005A5E6E" w:rsidRDefault="00ED6DC9" w:rsidP="009D5AF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8C7F7D">
              <w:rPr>
                <w:b/>
                <w:color w:val="000000"/>
              </w:rPr>
              <w:t>0.32 ± 0.46</w:t>
            </w:r>
            <w:r w:rsidRPr="008C7F7D">
              <w:rPr>
                <w:b/>
                <w:color w:val="000000"/>
              </w:rPr>
              <w:br/>
              <w:t xml:space="preserve"> (</w:t>
            </w:r>
            <w:r>
              <w:rPr>
                <w:b/>
                <w:color w:val="000000"/>
              </w:rPr>
              <w:t>–</w:t>
            </w:r>
            <w:r w:rsidRPr="008C7F7D">
              <w:rPr>
                <w:b/>
                <w:color w:val="000000"/>
              </w:rPr>
              <w:t xml:space="preserve">0.55, </w:t>
            </w:r>
            <w:r>
              <w:rPr>
                <w:b/>
                <w:color w:val="000000"/>
              </w:rPr>
              <w:t>–</w:t>
            </w:r>
            <w:r w:rsidRPr="008C7F7D">
              <w:rPr>
                <w:b/>
                <w:color w:val="000000"/>
              </w:rPr>
              <w:t>0.09)</w:t>
            </w:r>
          </w:p>
        </w:tc>
        <w:tc>
          <w:tcPr>
            <w:tcW w:w="1229" w:type="dxa"/>
            <w:vAlign w:val="center"/>
          </w:tcPr>
          <w:p w:rsidR="00ED6DC9" w:rsidRPr="005A5E6E" w:rsidRDefault="00ED6DC9" w:rsidP="009D5AFD">
            <w:pPr>
              <w:spacing w:after="0" w:line="240" w:lineRule="auto"/>
              <w:jc w:val="center"/>
              <w:rPr>
                <w:color w:val="000000"/>
              </w:rPr>
            </w:pPr>
            <w:r w:rsidRPr="008C7F7D">
              <w:rPr>
                <w:b/>
                <w:color w:val="000000"/>
              </w:rPr>
              <w:t>0.01</w:t>
            </w:r>
          </w:p>
        </w:tc>
      </w:tr>
      <w:tr w:rsidR="00ED6DC9" w:rsidRPr="00AC289B" w:rsidTr="009D5AFD">
        <w:trPr>
          <w:trHeight w:val="256"/>
        </w:trPr>
        <w:tc>
          <w:tcPr>
            <w:tcW w:w="2850" w:type="dxa"/>
            <w:vAlign w:val="center"/>
          </w:tcPr>
          <w:p w:rsidR="00ED6DC9" w:rsidRPr="006300DF" w:rsidRDefault="00ED6DC9" w:rsidP="009D5AFD">
            <w:pPr>
              <w:spacing w:before="120" w:after="120" w:line="240" w:lineRule="auto"/>
              <w:jc w:val="left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 xml:space="preserve">Temperature gradient (central skin – distal skin) </w:t>
            </w:r>
            <w:r w:rsidRPr="00975173">
              <w:rPr>
                <w:color w:val="000000" w:themeColor="text1"/>
                <w:kern w:val="24"/>
              </w:rPr>
              <w:t>(°C)</w:t>
            </w:r>
            <w:r>
              <w:rPr>
                <w:color w:val="000000" w:themeColor="text1"/>
                <w:kern w:val="24"/>
                <w:vertAlign w:val="superscript"/>
              </w:rPr>
              <w:t>2</w:t>
            </w:r>
          </w:p>
        </w:tc>
        <w:tc>
          <w:tcPr>
            <w:tcW w:w="1589" w:type="dxa"/>
            <w:vAlign w:val="center"/>
          </w:tcPr>
          <w:p w:rsidR="00ED6DC9" w:rsidRPr="005A5E6E" w:rsidRDefault="00ED6DC9" w:rsidP="009D5AFD">
            <w:pPr>
              <w:spacing w:after="0" w:line="240" w:lineRule="auto"/>
              <w:jc w:val="center"/>
              <w:rPr>
                <w:color w:val="000000"/>
              </w:rPr>
            </w:pPr>
            <w:r w:rsidRPr="007B3CDB">
              <w:rPr>
                <w:color w:val="000000"/>
              </w:rPr>
              <w:t>1.15 ± 0.7</w:t>
            </w:r>
            <w:r w:rsidR="00403E7A">
              <w:rPr>
                <w:color w:val="000000"/>
              </w:rPr>
              <w:t>0</w:t>
            </w:r>
            <w:r w:rsidRPr="007B3CDB">
              <w:rPr>
                <w:color w:val="000000"/>
              </w:rPr>
              <w:br/>
              <w:t xml:space="preserve"> (</w:t>
            </w:r>
            <w:r>
              <w:rPr>
                <w:color w:val="000000"/>
              </w:rPr>
              <w:t>–</w:t>
            </w:r>
            <w:r w:rsidRPr="007B3CDB">
              <w:rPr>
                <w:color w:val="000000"/>
              </w:rPr>
              <w:t>0.22, 3.01)</w:t>
            </w:r>
          </w:p>
        </w:tc>
        <w:tc>
          <w:tcPr>
            <w:tcW w:w="1559" w:type="dxa"/>
            <w:vAlign w:val="center"/>
          </w:tcPr>
          <w:p w:rsidR="00ED6DC9" w:rsidRPr="005A5E6E" w:rsidRDefault="00ED6DC9" w:rsidP="009D5AFD">
            <w:pPr>
              <w:spacing w:after="0" w:line="240" w:lineRule="auto"/>
              <w:jc w:val="center"/>
              <w:rPr>
                <w:color w:val="000000"/>
              </w:rPr>
            </w:pPr>
            <w:r w:rsidRPr="007B3CDB">
              <w:rPr>
                <w:color w:val="000000"/>
              </w:rPr>
              <w:t>1.54 ± 0.94</w:t>
            </w:r>
            <w:r w:rsidRPr="007B3CDB">
              <w:rPr>
                <w:color w:val="000000"/>
              </w:rPr>
              <w:br/>
              <w:t xml:space="preserve"> (</w:t>
            </w:r>
            <w:r>
              <w:rPr>
                <w:color w:val="000000"/>
              </w:rPr>
              <w:t>–</w:t>
            </w:r>
            <w:r w:rsidRPr="007B3CDB">
              <w:rPr>
                <w:color w:val="000000"/>
              </w:rPr>
              <w:t>0.77, 2.73)</w:t>
            </w:r>
          </w:p>
        </w:tc>
        <w:tc>
          <w:tcPr>
            <w:tcW w:w="1561" w:type="dxa"/>
            <w:vAlign w:val="center"/>
          </w:tcPr>
          <w:p w:rsidR="00ED6DC9" w:rsidRPr="005A5E6E" w:rsidRDefault="00ED6DC9" w:rsidP="009D5AFD">
            <w:pPr>
              <w:spacing w:after="0" w:line="240" w:lineRule="auto"/>
              <w:jc w:val="center"/>
              <w:rPr>
                <w:color w:val="000000"/>
              </w:rPr>
            </w:pPr>
            <w:r w:rsidRPr="007B3CDB">
              <w:rPr>
                <w:color w:val="000000"/>
              </w:rPr>
              <w:t>1.44 ± 0.44</w:t>
            </w:r>
            <w:r w:rsidRPr="007B3CDB">
              <w:rPr>
                <w:color w:val="000000"/>
              </w:rPr>
              <w:br/>
              <w:t xml:space="preserve"> (0.5</w:t>
            </w:r>
            <w:r w:rsidR="00403E7A">
              <w:rPr>
                <w:color w:val="000000"/>
              </w:rPr>
              <w:t>0</w:t>
            </w:r>
            <w:r w:rsidRPr="007B3CDB">
              <w:rPr>
                <w:color w:val="000000"/>
              </w:rPr>
              <w:t>, 2.35)</w:t>
            </w:r>
          </w:p>
        </w:tc>
        <w:tc>
          <w:tcPr>
            <w:tcW w:w="1771" w:type="dxa"/>
            <w:vAlign w:val="center"/>
          </w:tcPr>
          <w:p w:rsidR="00ED6DC9" w:rsidRPr="005A5E6E" w:rsidRDefault="00ED6DC9" w:rsidP="009D5AF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B3CDB">
              <w:rPr>
                <w:color w:val="000000"/>
              </w:rPr>
              <w:t>0.43 ± 1.09</w:t>
            </w:r>
            <w:r w:rsidRPr="007B3CDB">
              <w:rPr>
                <w:color w:val="000000"/>
              </w:rPr>
              <w:br/>
              <w:t xml:space="preserve"> (</w:t>
            </w:r>
            <w:r>
              <w:rPr>
                <w:color w:val="000000"/>
              </w:rPr>
              <w:t>–</w:t>
            </w:r>
            <w:r w:rsidRPr="007B3CDB">
              <w:rPr>
                <w:color w:val="000000"/>
              </w:rPr>
              <w:t>0.13, 0.99)</w:t>
            </w:r>
          </w:p>
        </w:tc>
        <w:tc>
          <w:tcPr>
            <w:tcW w:w="1170" w:type="dxa"/>
            <w:vAlign w:val="center"/>
          </w:tcPr>
          <w:p w:rsidR="00ED6DC9" w:rsidRPr="005A5E6E" w:rsidRDefault="00ED6DC9" w:rsidP="009D5AF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B3CDB">
              <w:rPr>
                <w:color w:val="000000"/>
              </w:rPr>
              <w:t>0.12</w:t>
            </w:r>
          </w:p>
        </w:tc>
        <w:tc>
          <w:tcPr>
            <w:tcW w:w="2070" w:type="dxa"/>
            <w:vAlign w:val="center"/>
          </w:tcPr>
          <w:p w:rsidR="00ED6DC9" w:rsidRPr="005A5E6E" w:rsidRDefault="00ED6DC9" w:rsidP="009D5AFD">
            <w:pPr>
              <w:spacing w:after="0" w:line="240" w:lineRule="auto"/>
              <w:jc w:val="center"/>
              <w:rPr>
                <w:color w:val="000000"/>
              </w:rPr>
            </w:pPr>
            <w:r w:rsidRPr="007B3CDB">
              <w:rPr>
                <w:color w:val="000000"/>
              </w:rPr>
              <w:t>0.29 ± 0.72</w:t>
            </w:r>
            <w:r w:rsidRPr="007B3CDB">
              <w:rPr>
                <w:color w:val="000000"/>
              </w:rPr>
              <w:br/>
              <w:t xml:space="preserve"> (</w:t>
            </w:r>
            <w:r>
              <w:rPr>
                <w:color w:val="000000"/>
              </w:rPr>
              <w:t>–</w:t>
            </w:r>
            <w:r w:rsidRPr="007B3CDB">
              <w:rPr>
                <w:color w:val="000000"/>
              </w:rPr>
              <w:t>0.06, 0.64)</w:t>
            </w:r>
          </w:p>
        </w:tc>
        <w:tc>
          <w:tcPr>
            <w:tcW w:w="1229" w:type="dxa"/>
            <w:vAlign w:val="center"/>
          </w:tcPr>
          <w:p w:rsidR="00ED6DC9" w:rsidRPr="005A5E6E" w:rsidRDefault="00ED6DC9" w:rsidP="009D5AFD">
            <w:pPr>
              <w:spacing w:after="0" w:line="240" w:lineRule="auto"/>
              <w:jc w:val="center"/>
              <w:rPr>
                <w:color w:val="000000"/>
              </w:rPr>
            </w:pPr>
            <w:r w:rsidRPr="007B3CDB">
              <w:rPr>
                <w:color w:val="000000"/>
              </w:rPr>
              <w:t>0.1</w:t>
            </w:r>
          </w:p>
        </w:tc>
      </w:tr>
    </w:tbl>
    <w:p w:rsidR="00ED6DC9" w:rsidRDefault="00ED6DC9" w:rsidP="00ED6DC9">
      <w:pPr>
        <w:spacing w:after="160" w:line="259" w:lineRule="auto"/>
        <w:jc w:val="left"/>
        <w:rPr>
          <w:rFonts w:eastAsiaTheme="majorEastAsia" w:cstheme="majorBidi"/>
          <w:b/>
          <w:color w:val="000000" w:themeColor="text1"/>
          <w:sz w:val="28"/>
          <w:szCs w:val="32"/>
        </w:rPr>
      </w:pPr>
    </w:p>
    <w:p w:rsidR="00D5132A" w:rsidRDefault="00D5132A" w:rsidP="00ED6DC9"/>
    <w:p w:rsidR="00600B56" w:rsidRDefault="00600B56" w:rsidP="00600B56">
      <w:r>
        <w:lastRenderedPageBreak/>
        <w:t xml:space="preserve">During all 24EE assessments, skin temperatures were continuously measured by iButtons (iButtonLink, LLC, WI, USA), as previously </w:t>
      </w:r>
      <w:proofErr w:type="gramStart"/>
      <w:r>
        <w:t>described(</w:t>
      </w:r>
      <w:proofErr w:type="gramEnd"/>
      <w:r>
        <w:t>1-3). Nine temperature sensors were attached to the skin (left/right volar wrist, left/right medial ankle, 1 cm below umbilicus, left-upper back, right-lower back, left/right mid-supraclavicular) using adhesive dressing.</w:t>
      </w:r>
    </w:p>
    <w:p w:rsidR="00600B56" w:rsidRDefault="00600B56" w:rsidP="00600B56">
      <w:r>
        <w:t xml:space="preserve">Core-body temperature (CBT) was continuously measured by swallowable CorTemp sensors using the CorTemp™ CBT monitoring system (CorTemp; </w:t>
      </w:r>
      <w:proofErr w:type="spellStart"/>
      <w:r>
        <w:t>HQInc</w:t>
      </w:r>
      <w:proofErr w:type="spellEnd"/>
      <w:r>
        <w:t xml:space="preserve">, Palmetto, FL, USA) that measures temperature in the intestine and transmits data to a mobile receiver, as done </w:t>
      </w:r>
      <w:proofErr w:type="gramStart"/>
      <w:r>
        <w:t>previously(</w:t>
      </w:r>
      <w:proofErr w:type="gramEnd"/>
      <w:r>
        <w:t>1, 2, 4). The silicon-coated pill was ingested at 05:00AM in the morning before volunteers entered the calorimeter.</w:t>
      </w:r>
    </w:p>
    <w:p w:rsidR="00600B56" w:rsidRDefault="00600B56" w:rsidP="00600B56">
      <w:r>
        <w:t>Total-body skin temperature was calculated by taking the average of all nine temperature sensors. Central-skin temperature was calculated by taking the average of the sensors 1 cm below navel, left upper back, right lower back, and left/right supraclavicular; distal-skin temperature was calculated by taking the average of the sensors on left/right wrists and on left/right ankles; while supraclavicular-skin temperature was calculated by taking the average of the left/right supraclavicular sensors. The temperature gradient between central- and distal-skin temperature was calculated by subtracting distal- from central-skin temperature. The temperature gradient between core-body and central-skin temperature was calculated by subtracting central-skin from core-body temperature.</w:t>
      </w:r>
    </w:p>
    <w:p w:rsidR="00D5132A" w:rsidRDefault="00D5132A" w:rsidP="00ED6DC9">
      <w:r>
        <w:t>During COLD and compared to energy balance at thermoneutrality, average total-body skin temperature decreased by 0.52</w:t>
      </w:r>
      <w:r w:rsidRPr="00096B1D">
        <w:rPr>
          <w:color w:val="000000" w:themeColor="text1"/>
          <w:kern w:val="24"/>
        </w:rPr>
        <w:t>°C</w:t>
      </w:r>
      <w:r>
        <w:rPr>
          <w:color w:val="000000" w:themeColor="text1"/>
          <w:kern w:val="24"/>
        </w:rPr>
        <w:t xml:space="preserve"> (CI: </w:t>
      </w:r>
      <w:r>
        <w:t>–0.76 to –0.28, p=0.0002), central-skin temperature decreased by 0.35</w:t>
      </w:r>
      <w:r w:rsidRPr="00096B1D">
        <w:rPr>
          <w:color w:val="000000" w:themeColor="text1"/>
          <w:kern w:val="24"/>
        </w:rPr>
        <w:t>°C</w:t>
      </w:r>
      <w:r>
        <w:rPr>
          <w:color w:val="000000" w:themeColor="text1"/>
          <w:kern w:val="24"/>
        </w:rPr>
        <w:t xml:space="preserve"> (CI: </w:t>
      </w:r>
      <w:r>
        <w:t>–0.67 to –0.04, p=0.03), and distal-skin temperature decreased by 0.78</w:t>
      </w:r>
      <w:r w:rsidRPr="00096B1D">
        <w:rPr>
          <w:color w:val="000000" w:themeColor="text1"/>
          <w:kern w:val="24"/>
        </w:rPr>
        <w:t>°C</w:t>
      </w:r>
      <w:r>
        <w:rPr>
          <w:color w:val="000000" w:themeColor="text1"/>
          <w:kern w:val="24"/>
        </w:rPr>
        <w:t xml:space="preserve"> (CI: </w:t>
      </w:r>
      <w:r>
        <w:t>–1.2 to –0.36, p=0.001).</w:t>
      </w:r>
      <w:r w:rsidR="00600B56">
        <w:t xml:space="preserve"> </w:t>
      </w:r>
      <w:r>
        <w:t>During 24-h fasting</w:t>
      </w:r>
      <w:r w:rsidRPr="00BB7DED">
        <w:t xml:space="preserve"> </w:t>
      </w:r>
      <w:r>
        <w:t>and compared to energy balance, central-skin temperature increased by 0.23</w:t>
      </w:r>
      <w:r w:rsidRPr="00096B1D">
        <w:rPr>
          <w:color w:val="000000" w:themeColor="text1"/>
          <w:kern w:val="24"/>
        </w:rPr>
        <w:t>°C</w:t>
      </w:r>
      <w:r>
        <w:t xml:space="preserve"> (CI: 0.02–0.44, p=0.03) and the temperature gradient between CBT and central-skin temperature decreased by 0.32</w:t>
      </w:r>
      <w:r w:rsidRPr="00096B1D">
        <w:rPr>
          <w:color w:val="000000" w:themeColor="text1"/>
          <w:kern w:val="24"/>
        </w:rPr>
        <w:t>°C</w:t>
      </w:r>
      <w:r>
        <w:t xml:space="preserve"> (CI: –0.55 to –0.09, p=0.01).</w:t>
      </w:r>
    </w:p>
    <w:p w:rsidR="00ED6DC9" w:rsidRDefault="00ED6DC9" w:rsidP="00ED6DC9">
      <w:r>
        <w:lastRenderedPageBreak/>
        <w:t xml:space="preserve">Absolute values </w:t>
      </w:r>
      <w:r w:rsidRPr="005E0E06">
        <w:rPr>
          <w:rFonts w:eastAsia="Times New Roman" w:cs="Times New Roman"/>
          <w:color w:val="000000"/>
          <w:kern w:val="24"/>
        </w:rPr>
        <w:t>are presented as mean ± SD with minimum and maximum in parentheses</w:t>
      </w:r>
      <w:r>
        <w:rPr>
          <w:rFonts w:eastAsia="Times New Roman" w:cs="Times New Roman"/>
          <w:color w:val="000000"/>
          <w:kern w:val="24"/>
        </w:rPr>
        <w:t>. Changes (</w:t>
      </w:r>
      <w:r w:rsidRPr="00DD5C2F">
        <w:rPr>
          <w:rFonts w:eastAsia="Times New Roman" w:cs="Times New Roman"/>
          <w:color w:val="000000"/>
          <w:kern w:val="24"/>
        </w:rPr>
        <w:t>Δ</w:t>
      </w:r>
      <w:r>
        <w:rPr>
          <w:rFonts w:eastAsia="Times New Roman" w:cs="Times New Roman"/>
          <w:color w:val="000000"/>
          <w:kern w:val="24"/>
        </w:rPr>
        <w:t xml:space="preserve">) are presented as mean </w:t>
      </w:r>
      <w:r w:rsidRPr="005E0E06">
        <w:rPr>
          <w:rFonts w:eastAsia="Times New Roman" w:cs="Times New Roman"/>
          <w:color w:val="000000"/>
          <w:kern w:val="24"/>
        </w:rPr>
        <w:t>± SD</w:t>
      </w:r>
      <w:r>
        <w:rPr>
          <w:rFonts w:eastAsia="Times New Roman" w:cs="Times New Roman"/>
          <w:color w:val="000000"/>
          <w:kern w:val="24"/>
        </w:rPr>
        <w:t xml:space="preserve"> with 95% confidence interval in parentheses and P values in the right column.</w:t>
      </w:r>
      <w:r>
        <w:t xml:space="preserve"> Statistical significance determined by Student’s paired t-test. Statistically significant results are highlighted in bold.</w:t>
      </w:r>
    </w:p>
    <w:p w:rsidR="00ED6DC9" w:rsidRDefault="00ED6DC9" w:rsidP="00ED6DC9">
      <w:r w:rsidRPr="00C30263">
        <w:rPr>
          <w:vertAlign w:val="superscript"/>
        </w:rPr>
        <w:t>1</w:t>
      </w:r>
      <w:r w:rsidRPr="006E34B5">
        <w:rPr>
          <w:color w:val="000000" w:themeColor="text1"/>
          <w:kern w:val="24"/>
        </w:rPr>
        <w:t>Core</w:t>
      </w:r>
      <w:r>
        <w:rPr>
          <w:color w:val="000000" w:themeColor="text1"/>
          <w:kern w:val="24"/>
        </w:rPr>
        <w:t>-</w:t>
      </w:r>
      <w:r w:rsidRPr="006E34B5">
        <w:rPr>
          <w:color w:val="000000" w:themeColor="text1"/>
          <w:kern w:val="24"/>
        </w:rPr>
        <w:t>body temperature</w:t>
      </w:r>
      <w:r>
        <w:rPr>
          <w:color w:val="000000" w:themeColor="text1"/>
          <w:kern w:val="24"/>
        </w:rPr>
        <w:t xml:space="preserve"> </w:t>
      </w:r>
      <w:r>
        <w:t>was not measured in n=1 participant during energy balance and in n=1 participant during COLD due to technical issues.</w:t>
      </w:r>
    </w:p>
    <w:p w:rsidR="00592369" w:rsidRDefault="00592369">
      <w:pPr>
        <w:spacing w:after="160" w:line="259" w:lineRule="auto"/>
        <w:jc w:val="left"/>
      </w:pPr>
      <w:r>
        <w:br w:type="page"/>
      </w:r>
    </w:p>
    <w:p w:rsidR="009776B8" w:rsidRDefault="009776B8" w:rsidP="00592369">
      <w:pPr>
        <w:pStyle w:val="berschrift1"/>
        <w:sectPr w:rsidR="009776B8" w:rsidSect="00EE45C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92369" w:rsidRDefault="00592369" w:rsidP="00592369">
      <w:pPr>
        <w:pStyle w:val="berschrift1"/>
      </w:pPr>
      <w:bookmarkStart w:id="13" w:name="_Toc35376098"/>
      <w:r>
        <w:lastRenderedPageBreak/>
        <w:t>References</w:t>
      </w:r>
      <w:bookmarkEnd w:id="13"/>
    </w:p>
    <w:p w:rsidR="008D2ACC" w:rsidRPr="008D2ACC" w:rsidRDefault="00592369" w:rsidP="008D2ACC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4" w:name="_ENREF_1"/>
      <w:r w:rsidR="008D2ACC" w:rsidRPr="008D2ACC">
        <w:t>1. Wijers SL, Saris WH, van Marken Lichtenbelt WD: Individual thermogenic responses to mild cold and overfeeding are closely related. J Clin Endocrinol Metab 2007;92:4299-4305</w:t>
      </w:r>
      <w:bookmarkEnd w:id="14"/>
    </w:p>
    <w:p w:rsidR="008D2ACC" w:rsidRPr="008D2ACC" w:rsidRDefault="008D2ACC" w:rsidP="008D2ACC">
      <w:pPr>
        <w:pStyle w:val="EndNoteBibliography"/>
        <w:spacing w:after="0"/>
      </w:pPr>
      <w:bookmarkStart w:id="15" w:name="_ENREF_2"/>
      <w:r w:rsidRPr="008D2ACC">
        <w:t>2. Wijers SL, Saris WH, van Marken Lichtenbelt WD: Cold-induced adaptive thermogenesis in lean and obese. Obesity (Silver Spring) 2010;18:1092-1099</w:t>
      </w:r>
      <w:bookmarkEnd w:id="15"/>
    </w:p>
    <w:p w:rsidR="008D2ACC" w:rsidRPr="008D2ACC" w:rsidRDefault="008D2ACC" w:rsidP="008D2ACC">
      <w:pPr>
        <w:pStyle w:val="EndNoteBibliography"/>
        <w:spacing w:after="0"/>
      </w:pPr>
      <w:bookmarkStart w:id="16" w:name="_ENREF_3"/>
      <w:r w:rsidRPr="008D2ACC">
        <w:t>3. Choi JK, Miki K, Sagawa S, Shiraki K: Evaluation of mean skin temperature formulas by infrared thermography. Int J Biometeorol 1997;41:68-75</w:t>
      </w:r>
      <w:bookmarkEnd w:id="16"/>
    </w:p>
    <w:p w:rsidR="008D2ACC" w:rsidRPr="008D2ACC" w:rsidRDefault="008D2ACC" w:rsidP="008D2ACC">
      <w:pPr>
        <w:pStyle w:val="EndNoteBibliography"/>
      </w:pPr>
      <w:bookmarkStart w:id="17" w:name="_ENREF_4"/>
      <w:r w:rsidRPr="008D2ACC">
        <w:t>4. Vinales KL, Begaye B, Thearle MS, Krakoff J, Piaggi P: Core body temperature, energy expenditure, and epinephrine during fasting, eucaloric feeding, and overfeeding in healthy adult men: evidence for a ceiling effect for human thermogenic response to diet. Metabolism 2019;94:59-68</w:t>
      </w:r>
      <w:bookmarkEnd w:id="17"/>
    </w:p>
    <w:p w:rsidR="002510FF" w:rsidRDefault="00592369">
      <w:r>
        <w:fldChar w:fldCharType="end"/>
      </w:r>
      <w:bookmarkStart w:id="18" w:name="_GoBack"/>
      <w:bookmarkEnd w:id="18"/>
    </w:p>
    <w:sectPr w:rsidR="002510FF" w:rsidSect="00977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E95" w:rsidRDefault="00461E95" w:rsidP="000C4D23">
      <w:pPr>
        <w:spacing w:after="0" w:line="240" w:lineRule="auto"/>
      </w:pPr>
      <w:r>
        <w:separator/>
      </w:r>
    </w:p>
  </w:endnote>
  <w:endnote w:type="continuationSeparator" w:id="0">
    <w:p w:rsidR="00461E95" w:rsidRDefault="00461E95" w:rsidP="000C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E95" w:rsidRDefault="00461E95" w:rsidP="000C4D23">
      <w:pPr>
        <w:spacing w:after="0" w:line="240" w:lineRule="auto"/>
      </w:pPr>
      <w:r>
        <w:separator/>
      </w:r>
    </w:p>
  </w:footnote>
  <w:footnote w:type="continuationSeparator" w:id="0">
    <w:p w:rsidR="00461E95" w:rsidRDefault="00461E95" w:rsidP="000C4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D23" w:rsidRDefault="000C4D23" w:rsidP="00E91E2F">
    <w:pPr>
      <w:pStyle w:val="Kopfzeile"/>
      <w:pBdr>
        <w:bottom w:val="single" w:sz="6" w:space="0" w:color="auto"/>
      </w:pBdr>
      <w:spacing w:after="120" w:line="276" w:lineRule="auto"/>
      <w:jc w:val="center"/>
      <w:rPr>
        <w:b/>
        <w:bCs/>
        <w:smallCaps/>
      </w:rPr>
    </w:pPr>
    <w:r w:rsidRPr="000C4D23">
      <w:rPr>
        <w:b/>
        <w:bCs/>
        <w:smallCaps/>
      </w:rPr>
      <w:t xml:space="preserve">Hollstein </w:t>
    </w:r>
    <w:r w:rsidRPr="006B3C20">
      <w:rPr>
        <w:b/>
        <w:bCs/>
        <w:i/>
        <w:iCs/>
        <w:smallCaps/>
      </w:rPr>
      <w:t>et al</w:t>
    </w:r>
    <w:r w:rsidRPr="000C4D23">
      <w:rPr>
        <w:b/>
        <w:bCs/>
        <w:smallCaps/>
      </w:rPr>
      <w:t xml:space="preserve"> – The metabolic responses to 24-h fasting and mild cold exposure in overweight humans are correlated and accompanied by changes in FGF21</w:t>
    </w:r>
  </w:p>
  <w:p w:rsidR="000C4D23" w:rsidRPr="000C4D23" w:rsidRDefault="000C4D23" w:rsidP="000C4D23">
    <w:pPr>
      <w:pStyle w:val="Kopfzeile"/>
      <w:jc w:val="center"/>
      <w:rPr>
        <w:b/>
        <w:bCs/>
        <w:smallCap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Diabetes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1&lt;/HyperlinksVisible&gt;&lt;EnableBibliographyCategories&gt;0&lt;/EnableBibliographyCategories&gt;&lt;/ENLayout&gt;"/>
    <w:docVar w:name="EN.Libraries" w:val="&lt;Libraries&gt;&lt;item db-id=&quot;v2t0wrrfneef06es9zqvrsw6f9pxze5x2tt0&quot;&gt;NIH Library&lt;record-ids&gt;&lt;item&gt;1249&lt;/item&gt;&lt;item&gt;1384&lt;/item&gt;&lt;item&gt;2510&lt;/item&gt;&lt;item&gt;2873&lt;/item&gt;&lt;/record-ids&gt;&lt;/item&gt;&lt;/Libraries&gt;"/>
  </w:docVars>
  <w:rsids>
    <w:rsidRoot w:val="004D1009"/>
    <w:rsid w:val="000C4D23"/>
    <w:rsid w:val="000C6678"/>
    <w:rsid w:val="000D3E2B"/>
    <w:rsid w:val="000D4B1B"/>
    <w:rsid w:val="000E49BC"/>
    <w:rsid w:val="00121CF6"/>
    <w:rsid w:val="001E545B"/>
    <w:rsid w:val="0020059C"/>
    <w:rsid w:val="002347EE"/>
    <w:rsid w:val="002510FF"/>
    <w:rsid w:val="002A42CA"/>
    <w:rsid w:val="002D0FFC"/>
    <w:rsid w:val="002D55EE"/>
    <w:rsid w:val="002F4776"/>
    <w:rsid w:val="00366EBD"/>
    <w:rsid w:val="003A3D44"/>
    <w:rsid w:val="003E60E9"/>
    <w:rsid w:val="00403E7A"/>
    <w:rsid w:val="004352A1"/>
    <w:rsid w:val="00461E95"/>
    <w:rsid w:val="004D1009"/>
    <w:rsid w:val="005126AA"/>
    <w:rsid w:val="005755D4"/>
    <w:rsid w:val="00592369"/>
    <w:rsid w:val="00600B56"/>
    <w:rsid w:val="006605C8"/>
    <w:rsid w:val="00692381"/>
    <w:rsid w:val="00697F76"/>
    <w:rsid w:val="006B3C20"/>
    <w:rsid w:val="006F1861"/>
    <w:rsid w:val="00707B34"/>
    <w:rsid w:val="00781487"/>
    <w:rsid w:val="008D2ACC"/>
    <w:rsid w:val="008F6172"/>
    <w:rsid w:val="009362DA"/>
    <w:rsid w:val="009776B8"/>
    <w:rsid w:val="00A16448"/>
    <w:rsid w:val="00A67F34"/>
    <w:rsid w:val="00AB6484"/>
    <w:rsid w:val="00AE450A"/>
    <w:rsid w:val="00BB4E73"/>
    <w:rsid w:val="00C254E4"/>
    <w:rsid w:val="00C578E9"/>
    <w:rsid w:val="00C831A6"/>
    <w:rsid w:val="00D5132A"/>
    <w:rsid w:val="00D57210"/>
    <w:rsid w:val="00DB280B"/>
    <w:rsid w:val="00E234E7"/>
    <w:rsid w:val="00E274B8"/>
    <w:rsid w:val="00E91E2F"/>
    <w:rsid w:val="00ED6DC9"/>
    <w:rsid w:val="00F4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0BA7"/>
  <w15:chartTrackingRefBased/>
  <w15:docId w15:val="{38D98706-9DE3-4AD6-9A0C-F43F8118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D1009"/>
    <w:pPr>
      <w:spacing w:after="200" w:line="48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1009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1009"/>
    <w:pPr>
      <w:keepNext/>
      <w:keepLines/>
      <w:spacing w:before="240" w:after="2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1009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1009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table" w:styleId="TabellemithellemGitternetz">
    <w:name w:val="Grid Table Light"/>
    <w:basedOn w:val="NormaleTabelle"/>
    <w:uiPriority w:val="40"/>
    <w:rsid w:val="004D1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bsatz-Standardschriftart"/>
    <w:uiPriority w:val="99"/>
    <w:unhideWhenUsed/>
    <w:rsid w:val="00592369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Standard"/>
    <w:link w:val="EndNoteBibliographyTitleZchn"/>
    <w:rsid w:val="00592369"/>
    <w:pPr>
      <w:spacing w:after="0"/>
      <w:jc w:val="center"/>
    </w:pPr>
    <w:rPr>
      <w:rFonts w:cs="Times New Roman"/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592369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Standard"/>
    <w:link w:val="EndNoteBibliographyZchn"/>
    <w:rsid w:val="00592369"/>
    <w:pPr>
      <w:spacing w:line="240" w:lineRule="auto"/>
    </w:pPr>
    <w:rPr>
      <w:rFonts w:cs="Times New Roman"/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592369"/>
    <w:rPr>
      <w:rFonts w:ascii="Times New Roman" w:hAnsi="Times New Roman" w:cs="Times New Roman"/>
      <w:noProof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236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A4B"/>
    <w:rPr>
      <w:rFonts w:ascii="Segoe UI" w:hAnsi="Segoe UI" w:cs="Segoe UI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D0FFC"/>
    <w:pPr>
      <w:spacing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D0FFC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2D0FFC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2D0FFC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0C4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4D23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0C4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4D2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8D73-0349-4ED3-B49F-AFCCC7B8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1800</Words>
  <Characters>11346</Characters>
  <Application>Microsoft Office Word</Application>
  <DocSecurity>0</DocSecurity>
  <Lines>94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Piaggi</dc:creator>
  <cp:keywords/>
  <dc:description/>
  <cp:lastModifiedBy>Tim Hollstein</cp:lastModifiedBy>
  <cp:revision>43</cp:revision>
  <dcterms:created xsi:type="dcterms:W3CDTF">2020-02-12T17:10:00Z</dcterms:created>
  <dcterms:modified xsi:type="dcterms:W3CDTF">2020-03-28T22:40:00Z</dcterms:modified>
</cp:coreProperties>
</file>