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C89A4B" w14:textId="1BDF2C3B" w:rsidR="00367C29" w:rsidRDefault="00367C29" w:rsidP="00367C29">
      <w:pPr>
        <w:spacing w:line="480" w:lineRule="auto"/>
        <w:jc w:val="both"/>
      </w:pPr>
      <w:r>
        <w:t>SUPPLEMENTAL M</w:t>
      </w:r>
      <w:r w:rsidR="000B644B">
        <w:t>ATERIAL</w:t>
      </w:r>
      <w:r>
        <w:t>S:</w:t>
      </w:r>
    </w:p>
    <w:p w14:paraId="20D42064" w14:textId="34291A45" w:rsidR="00367C29" w:rsidRDefault="000B644B" w:rsidP="00367C29">
      <w:pPr>
        <w:spacing w:line="480" w:lineRule="auto"/>
        <w:jc w:val="both"/>
      </w:pPr>
      <w:r>
        <w:rPr>
          <w:i/>
          <w:iCs/>
        </w:rPr>
        <w:t>Analysis of</w:t>
      </w:r>
      <w:r w:rsidR="00367C29" w:rsidRPr="0083582D">
        <w:rPr>
          <w:i/>
          <w:iCs/>
        </w:rPr>
        <w:t xml:space="preserve"> potential</w:t>
      </w:r>
      <w:r>
        <w:rPr>
          <w:i/>
          <w:iCs/>
        </w:rPr>
        <w:t xml:space="preserve"> adverse</w:t>
      </w:r>
      <w:r w:rsidR="00367C29" w:rsidRPr="0083582D">
        <w:rPr>
          <w:i/>
          <w:iCs/>
        </w:rPr>
        <w:t xml:space="preserve"> side effects </w:t>
      </w:r>
      <w:r>
        <w:rPr>
          <w:i/>
          <w:iCs/>
        </w:rPr>
        <w:t>from</w:t>
      </w:r>
      <w:r w:rsidR="00367C29" w:rsidRPr="0083582D">
        <w:rPr>
          <w:i/>
          <w:iCs/>
        </w:rPr>
        <w:t xml:space="preserve"> ICV α-klotho:</w:t>
      </w:r>
      <w:r w:rsidR="00367C29">
        <w:t xml:space="preserve"> To determine any additional stress caused to the mice from ICV α-klotho treatment, nest building experiments were performed as previously described [1]</w:t>
      </w:r>
      <w:r w:rsidR="00B325F1">
        <w:t xml:space="preserve"> </w:t>
      </w:r>
      <w:r w:rsidR="00B325F1" w:rsidRPr="00B325F1">
        <w:rPr>
          <w:color w:val="4472C4" w:themeColor="accent1"/>
        </w:rPr>
        <w:t>(Supplemental Fig. 7)</w:t>
      </w:r>
      <w:r w:rsidR="00367C29" w:rsidRPr="00B325F1">
        <w:rPr>
          <w:color w:val="4472C4" w:themeColor="accent1"/>
        </w:rPr>
        <w:t xml:space="preserve">. </w:t>
      </w:r>
      <w:r w:rsidR="00367C29">
        <w:t>Briefly, nesting material was divided into six equal pieces and presented to mice in equal “zones” of their cage after either ICV α-klotho or vehicle treatment. Nesting behavior was blindly scored 24 hours later by quantifying how many zones had been cleared.</w:t>
      </w:r>
    </w:p>
    <w:p w14:paraId="04EB5A99" w14:textId="68EBD9C6" w:rsidR="00367C29" w:rsidRDefault="00367C29" w:rsidP="00367C29">
      <w:pPr>
        <w:spacing w:line="480" w:lineRule="auto"/>
        <w:jc w:val="both"/>
      </w:pPr>
      <w:r>
        <w:t>Conditioned taste aversion tests were also performed as previously described [2]. Mice were acclimated to 2 hours access to water each day for two days, to condition mice to drink when water is provided. After the conditioning period a 0.15% saccharin solution was provided for two hours. Immediately following the 2-hour saccharin availability, mice were treated with either 2.0ug ICV α-klotho, ICV vehicle, or 127mg/kg IP lithium chloride. The following day, mice were presented with both water and saccharin. Mice have an inert preference for the saccharin water, however treatments that result in negative side-effects induce an aversion to the saccharin water. Lithium chloride is a well-established positive control because it induces gastrointestinal distress.</w:t>
      </w:r>
    </w:p>
    <w:p w14:paraId="4B58AB45" w14:textId="23AF4F88" w:rsidR="005D6AD5" w:rsidRDefault="005D6AD5" w:rsidP="00367C29">
      <w:pPr>
        <w:spacing w:line="480" w:lineRule="auto"/>
        <w:jc w:val="both"/>
      </w:pPr>
    </w:p>
    <w:p w14:paraId="78D4B386" w14:textId="3548138F" w:rsidR="005D6AD5" w:rsidRPr="005D6AD5" w:rsidRDefault="005D6AD5" w:rsidP="00367C29">
      <w:pPr>
        <w:spacing w:line="480" w:lineRule="auto"/>
        <w:jc w:val="both"/>
        <w:rPr>
          <w:i/>
          <w:iCs/>
        </w:rPr>
      </w:pPr>
      <w:r w:rsidRPr="0083582D">
        <w:rPr>
          <w:i/>
          <w:iCs/>
        </w:rPr>
        <w:t xml:space="preserve">ICV </w:t>
      </w:r>
      <w:r>
        <w:rPr>
          <w:i/>
          <w:iCs/>
        </w:rPr>
        <w:t xml:space="preserve">injection in </w:t>
      </w:r>
      <w:r w:rsidR="00B325F1" w:rsidRPr="00B325F1">
        <w:rPr>
          <w:i/>
          <w:iCs/>
          <w:color w:val="4472C4" w:themeColor="accent1"/>
        </w:rPr>
        <w:t xml:space="preserve">female DIO </w:t>
      </w:r>
      <w:r w:rsidR="00B325F1">
        <w:rPr>
          <w:i/>
          <w:iCs/>
        </w:rPr>
        <w:t>and male chow-fed</w:t>
      </w:r>
      <w:r>
        <w:rPr>
          <w:i/>
          <w:iCs/>
        </w:rPr>
        <w:t xml:space="preserve"> mice</w:t>
      </w:r>
      <w:r w:rsidR="006150FC">
        <w:rPr>
          <w:i/>
          <w:iCs/>
        </w:rPr>
        <w:t xml:space="preserve">: </w:t>
      </w:r>
      <w:r w:rsidRPr="004300AB">
        <w:t>Th</w:t>
      </w:r>
      <w:r>
        <w:t>e same</w:t>
      </w:r>
      <w:r w:rsidRPr="004300AB">
        <w:t xml:space="preserve"> </w:t>
      </w:r>
      <w:r>
        <w:t xml:space="preserve">12-day </w:t>
      </w:r>
      <w:r w:rsidRPr="004300AB">
        <w:t xml:space="preserve">experimental timeline </w:t>
      </w:r>
      <w:r>
        <w:t xml:space="preserve">described in the main text </w:t>
      </w:r>
      <w:r w:rsidRPr="004300AB">
        <w:t xml:space="preserve">was also used </w:t>
      </w:r>
      <w:r w:rsidRPr="00B325F1">
        <w:rPr>
          <w:color w:val="4472C4" w:themeColor="accent1"/>
        </w:rPr>
        <w:t xml:space="preserve">in </w:t>
      </w:r>
      <w:r w:rsidR="00B325F1" w:rsidRPr="00B325F1">
        <w:rPr>
          <w:color w:val="4472C4" w:themeColor="accent1"/>
        </w:rPr>
        <w:t xml:space="preserve">female DIO (n=4/group), </w:t>
      </w:r>
      <w:r w:rsidR="00B325F1">
        <w:t xml:space="preserve">as well as </w:t>
      </w:r>
      <w:r w:rsidRPr="004300AB">
        <w:t>chow-fed male mice (7-8/group) cannulated at 7-8-week</w:t>
      </w:r>
      <w:r>
        <w:t>s</w:t>
      </w:r>
      <w:r w:rsidRPr="004300AB">
        <w:t xml:space="preserve"> of age</w:t>
      </w:r>
      <w:r w:rsidR="00B325F1">
        <w:t xml:space="preserve"> </w:t>
      </w:r>
      <w:r w:rsidR="00B325F1" w:rsidRPr="00B325F1">
        <w:rPr>
          <w:color w:val="4472C4" w:themeColor="accent1"/>
        </w:rPr>
        <w:t>(Supplemental Figs. 8-9)</w:t>
      </w:r>
      <w:r w:rsidRPr="00B325F1">
        <w:rPr>
          <w:color w:val="4472C4" w:themeColor="accent1"/>
        </w:rPr>
        <w:t>.</w:t>
      </w:r>
    </w:p>
    <w:p w14:paraId="53FF50E2" w14:textId="77777777" w:rsidR="00367C29" w:rsidRDefault="00367C29" w:rsidP="00367C29">
      <w:pPr>
        <w:spacing w:line="480" w:lineRule="auto"/>
        <w:jc w:val="both"/>
      </w:pPr>
    </w:p>
    <w:p w14:paraId="04CEDBE0" w14:textId="77777777" w:rsidR="00367C29" w:rsidRDefault="00367C29" w:rsidP="00367C29">
      <w:pPr>
        <w:spacing w:line="480" w:lineRule="auto"/>
        <w:jc w:val="both"/>
      </w:pPr>
    </w:p>
    <w:p w14:paraId="0ED5D7D3" w14:textId="77777777" w:rsidR="00367C29" w:rsidRDefault="00367C29" w:rsidP="00367C29">
      <w:pPr>
        <w:spacing w:line="480" w:lineRule="auto"/>
        <w:jc w:val="both"/>
      </w:pPr>
    </w:p>
    <w:p w14:paraId="3CC57D03" w14:textId="77777777" w:rsidR="00367C29" w:rsidRDefault="00367C29" w:rsidP="00367C29">
      <w:pPr>
        <w:spacing w:line="480" w:lineRule="auto"/>
        <w:jc w:val="both"/>
      </w:pPr>
    </w:p>
    <w:p w14:paraId="7F59C13D" w14:textId="77777777" w:rsidR="00367C29" w:rsidRDefault="00367C29" w:rsidP="00367C29">
      <w:pPr>
        <w:spacing w:line="480" w:lineRule="auto"/>
        <w:jc w:val="both"/>
      </w:pPr>
    </w:p>
    <w:p w14:paraId="3157499B" w14:textId="77777777" w:rsidR="00367C29" w:rsidRDefault="00367C29" w:rsidP="00367C29">
      <w:pPr>
        <w:spacing w:line="480" w:lineRule="auto"/>
        <w:jc w:val="both"/>
      </w:pPr>
    </w:p>
    <w:p w14:paraId="7265F17D" w14:textId="77777777" w:rsidR="00367C29" w:rsidRDefault="00367C29" w:rsidP="00367C29">
      <w:pPr>
        <w:spacing w:line="480" w:lineRule="auto"/>
        <w:jc w:val="both"/>
      </w:pPr>
      <w:r>
        <w:t>SUPPLEMENTAL RESULTS:</w:t>
      </w:r>
    </w:p>
    <w:p w14:paraId="233A5906" w14:textId="1DB9A769" w:rsidR="00B325F1" w:rsidRDefault="00B325F1" w:rsidP="00B325F1">
      <w:pPr>
        <w:spacing w:line="480" w:lineRule="auto"/>
        <w:jc w:val="both"/>
      </w:pPr>
      <w:r w:rsidRPr="00D95148">
        <w:rPr>
          <w:b/>
          <w:bCs/>
        </w:rPr>
        <w:t>α-Klotho does not Induce a Stress-Response in Mice.</w:t>
      </w:r>
      <w:r>
        <w:t xml:space="preserve"> Nest building and conditioned taste aversion experiments were performed to determine if reductions in food intake were stress related [1,2] </w:t>
      </w:r>
      <w:r w:rsidRPr="00B325F1">
        <w:rPr>
          <w:color w:val="4472C4" w:themeColor="accent1"/>
        </w:rPr>
        <w:t xml:space="preserve">(Supplemental Fig. </w:t>
      </w:r>
      <w:r w:rsidRPr="00B325F1">
        <w:rPr>
          <w:color w:val="4472C4" w:themeColor="accent1"/>
        </w:rPr>
        <w:t>7</w:t>
      </w:r>
      <w:r w:rsidRPr="00B325F1">
        <w:rPr>
          <w:color w:val="4472C4" w:themeColor="accent1"/>
        </w:rPr>
        <w:t xml:space="preserve">). </w:t>
      </w:r>
      <w:r>
        <w:t>ICV α-klotho treatment did not impair nest building in healthy or STZ-treated mice, nor did it result in a taste aversion to saccharin water.</w:t>
      </w:r>
    </w:p>
    <w:p w14:paraId="1BE36012" w14:textId="77777777" w:rsidR="00B325F1" w:rsidRDefault="00B325F1" w:rsidP="00B325F1">
      <w:pPr>
        <w:spacing w:line="480" w:lineRule="auto"/>
        <w:jc w:val="both"/>
      </w:pPr>
    </w:p>
    <w:p w14:paraId="20419B82" w14:textId="0B3CDECB" w:rsidR="00B325F1" w:rsidRDefault="00B325F1" w:rsidP="00B325F1">
      <w:pPr>
        <w:spacing w:line="480" w:lineRule="auto"/>
        <w:jc w:val="both"/>
      </w:pPr>
      <w:r>
        <w:rPr>
          <w:b/>
          <w:bCs/>
        </w:rPr>
        <w:t xml:space="preserve">7 Days ICV </w:t>
      </w:r>
      <w:r w:rsidRPr="0083582D">
        <w:rPr>
          <w:b/>
          <w:bCs/>
        </w:rPr>
        <w:t xml:space="preserve">α-Klotho </w:t>
      </w:r>
      <w:r>
        <w:rPr>
          <w:b/>
          <w:bCs/>
        </w:rPr>
        <w:t xml:space="preserve">Treatment </w:t>
      </w:r>
      <w:r w:rsidRPr="0083582D">
        <w:rPr>
          <w:b/>
          <w:bCs/>
        </w:rPr>
        <w:t>Results in Weight Loss, Suppressed Food Intake, and Improved Glucose Regulation in Female DIO Mice.</w:t>
      </w:r>
      <w:r>
        <w:t xml:space="preserve"> Considering previously described sex-differences in α-klotho concentrations [3], ICV α-klotho experiments were also performed in a small cohort (n=4/group) of female DIO mice </w:t>
      </w:r>
      <w:r w:rsidRPr="00B325F1">
        <w:rPr>
          <w:color w:val="4472C4" w:themeColor="accent1"/>
        </w:rPr>
        <w:t xml:space="preserve">(Supplemental Fig. </w:t>
      </w:r>
      <w:r w:rsidRPr="00B325F1">
        <w:rPr>
          <w:color w:val="4472C4" w:themeColor="accent1"/>
        </w:rPr>
        <w:t>8</w:t>
      </w:r>
      <w:r w:rsidRPr="00B325F1">
        <w:rPr>
          <w:color w:val="4472C4" w:themeColor="accent1"/>
        </w:rPr>
        <w:t xml:space="preserve">). </w:t>
      </w:r>
      <w:r>
        <w:t>Despite the small sample size, ICV α-klotho significantly suppressed food intake (19.7%) and improved glucose clearance during a GTT. While there were no differences in body weight, this is likely due to low statistical power.</w:t>
      </w:r>
    </w:p>
    <w:p w14:paraId="28F981E3" w14:textId="77777777" w:rsidR="00B325F1" w:rsidRDefault="00B325F1" w:rsidP="00B325F1">
      <w:pPr>
        <w:spacing w:line="480" w:lineRule="auto"/>
        <w:jc w:val="both"/>
      </w:pPr>
    </w:p>
    <w:p w14:paraId="3678A6CD" w14:textId="7ACA1F55" w:rsidR="005D6AD5" w:rsidRDefault="005D6AD5" w:rsidP="00367C29">
      <w:pPr>
        <w:spacing w:line="480" w:lineRule="auto"/>
        <w:jc w:val="both"/>
        <w:rPr>
          <w:b/>
          <w:bCs/>
        </w:rPr>
      </w:pPr>
      <w:r>
        <w:rPr>
          <w:b/>
          <w:bCs/>
        </w:rPr>
        <w:t xml:space="preserve">7 Days ICV </w:t>
      </w:r>
      <w:r w:rsidRPr="0083582D">
        <w:rPr>
          <w:b/>
          <w:bCs/>
        </w:rPr>
        <w:t>α-Klotho</w:t>
      </w:r>
      <w:r>
        <w:rPr>
          <w:b/>
          <w:bCs/>
        </w:rPr>
        <w:t xml:space="preserve"> Treatment Suppresses Food Intake in Healthy Mice. </w:t>
      </w:r>
      <w:r w:rsidRPr="004300AB">
        <w:t xml:space="preserve">In healthy, chow-fed mice, ICV </w:t>
      </w:r>
      <w:r w:rsidRPr="004300AB">
        <w:rPr>
          <w:lang w:val="el-GR"/>
        </w:rPr>
        <w:t>α-klotho</w:t>
      </w:r>
      <w:r w:rsidRPr="004300AB">
        <w:t xml:space="preserve"> treatment significantly decreased food intake by 12% compared to vehicle-treated controls </w:t>
      </w:r>
      <w:r w:rsidRPr="00B325F1">
        <w:rPr>
          <w:color w:val="4472C4" w:themeColor="accent1"/>
        </w:rPr>
        <w:t xml:space="preserve">(Supplemental Fig. </w:t>
      </w:r>
      <w:r w:rsidR="00B325F1" w:rsidRPr="00B325F1">
        <w:rPr>
          <w:color w:val="4472C4" w:themeColor="accent1"/>
        </w:rPr>
        <w:t>9</w:t>
      </w:r>
      <w:r w:rsidRPr="00B325F1">
        <w:rPr>
          <w:color w:val="4472C4" w:themeColor="accent1"/>
        </w:rPr>
        <w:t xml:space="preserve">D-E), </w:t>
      </w:r>
      <w:r w:rsidRPr="004300AB">
        <w:t xml:space="preserve">however, there were no differences in body weight or fed glucose levels </w:t>
      </w:r>
      <w:r w:rsidRPr="00B325F1">
        <w:rPr>
          <w:color w:val="4472C4" w:themeColor="accent1"/>
        </w:rPr>
        <w:t xml:space="preserve">(Supplemental Fig. </w:t>
      </w:r>
      <w:r w:rsidR="00B325F1" w:rsidRPr="00B325F1">
        <w:rPr>
          <w:color w:val="4472C4" w:themeColor="accent1"/>
        </w:rPr>
        <w:t>9</w:t>
      </w:r>
      <w:r w:rsidRPr="00B325F1">
        <w:rPr>
          <w:color w:val="4472C4" w:themeColor="accent1"/>
        </w:rPr>
        <w:t>A-C).</w:t>
      </w:r>
    </w:p>
    <w:p w14:paraId="1242AAB9" w14:textId="77777777" w:rsidR="005D6AD5" w:rsidRDefault="005D6AD5" w:rsidP="00367C29">
      <w:pPr>
        <w:spacing w:line="480" w:lineRule="auto"/>
        <w:jc w:val="both"/>
        <w:rPr>
          <w:b/>
          <w:bCs/>
        </w:rPr>
      </w:pPr>
      <w:bookmarkStart w:id="0" w:name="_GoBack"/>
      <w:bookmarkEnd w:id="0"/>
    </w:p>
    <w:p w14:paraId="0D5C3845" w14:textId="77777777" w:rsidR="00367C29" w:rsidRDefault="00367C29" w:rsidP="00367C29">
      <w:pPr>
        <w:spacing w:line="480" w:lineRule="auto"/>
        <w:jc w:val="both"/>
        <w:rPr>
          <w:b/>
          <w:bCs/>
        </w:rPr>
      </w:pPr>
    </w:p>
    <w:p w14:paraId="378E6DBF" w14:textId="77777777" w:rsidR="00367C29" w:rsidRDefault="00367C29" w:rsidP="00367C29">
      <w:pPr>
        <w:spacing w:line="480" w:lineRule="auto"/>
        <w:jc w:val="both"/>
      </w:pPr>
    </w:p>
    <w:p w14:paraId="786A4CF4" w14:textId="19CC14C6" w:rsidR="00367C29" w:rsidRDefault="00367C29" w:rsidP="00367C29">
      <w:pPr>
        <w:spacing w:line="480" w:lineRule="auto"/>
        <w:jc w:val="both"/>
      </w:pPr>
      <w:r>
        <w:lastRenderedPageBreak/>
        <w:t>SUPPLEMENTAL FIGURE LEGEND:</w:t>
      </w:r>
    </w:p>
    <w:p w14:paraId="21171FA8" w14:textId="77777777" w:rsidR="00367C29" w:rsidRDefault="00367C29" w:rsidP="00367C29">
      <w:pPr>
        <w:spacing w:line="480" w:lineRule="auto"/>
        <w:jc w:val="both"/>
      </w:pPr>
      <w:r>
        <w:t>Supplemental Table 1. Primer sequences used for qPCR.</w:t>
      </w:r>
    </w:p>
    <w:p w14:paraId="0F2642FB" w14:textId="77777777" w:rsidR="00367C29" w:rsidRDefault="00367C29" w:rsidP="00367C29">
      <w:pPr>
        <w:spacing w:line="480" w:lineRule="auto"/>
        <w:jc w:val="both"/>
      </w:pPr>
    </w:p>
    <w:p w14:paraId="2902B796" w14:textId="4B9824D5" w:rsidR="002711D2" w:rsidRDefault="002711D2" w:rsidP="002711D2">
      <w:pPr>
        <w:spacing w:line="480" w:lineRule="auto"/>
        <w:jc w:val="both"/>
      </w:pPr>
      <w:r>
        <w:t xml:space="preserve">Supplemental Figure 1. Validation of ICV cannulation procedure. (A) Observation of scar tissue path of the cannula and (B) 3.0ug ICV leptin treatment suppresses food intake after an overnight fast (n = 3-4 chow fed mice). </w:t>
      </w:r>
      <w:bookmarkStart w:id="1" w:name="OLE_LINK1"/>
      <w:r>
        <w:t>Data represented as mean ± SEM; P &lt; 0.05 indicates significant difference between groups.</w:t>
      </w:r>
      <w:bookmarkEnd w:id="1"/>
    </w:p>
    <w:p w14:paraId="1C666691" w14:textId="77777777" w:rsidR="00B325F1" w:rsidRDefault="00B325F1" w:rsidP="00B325F1">
      <w:pPr>
        <w:spacing w:line="480" w:lineRule="auto"/>
        <w:jc w:val="both"/>
      </w:pPr>
    </w:p>
    <w:p w14:paraId="2BD27E9A" w14:textId="454FAB2B" w:rsidR="00B325F1" w:rsidRDefault="00B325F1" w:rsidP="00B325F1">
      <w:pPr>
        <w:spacing w:line="480" w:lineRule="auto"/>
        <w:jc w:val="both"/>
      </w:pPr>
      <w:r>
        <w:t>Supplemental Figure 2. (A) Effects of different doses of STZ on fed blood glucose levels 7 days after injections. (B) Hypothalamic gene expression of agouti-related peptide (</w:t>
      </w:r>
      <w:proofErr w:type="spellStart"/>
      <w:r>
        <w:t>AgRP</w:t>
      </w:r>
      <w:proofErr w:type="spellEnd"/>
      <w:r>
        <w:t xml:space="preserve">), neuropeptide Y (NPY), and pro-opiomelanocortin (POMC) in </w:t>
      </w:r>
      <w:r w:rsidRPr="001254D1">
        <w:t>9-10-week-old</w:t>
      </w:r>
      <w:r>
        <w:t>,</w:t>
      </w:r>
      <w:r w:rsidRPr="001254D1">
        <w:t xml:space="preserve"> STZ</w:t>
      </w:r>
      <w:r>
        <w:t>-</w:t>
      </w:r>
      <w:r w:rsidRPr="001254D1">
        <w:t>treated</w:t>
      </w:r>
      <w:r>
        <w:t>, ad libitum fed,</w:t>
      </w:r>
      <w:r w:rsidRPr="001254D1">
        <w:t xml:space="preserve"> mice</w:t>
      </w:r>
      <w:r>
        <w:t xml:space="preserve"> after 7 days ICV α-klotho or vehicle injections</w:t>
      </w:r>
      <w:r w:rsidRPr="001254D1">
        <w:t xml:space="preserve"> (n = </w:t>
      </w:r>
      <w:r>
        <w:t>5-7</w:t>
      </w:r>
      <w:r w:rsidRPr="001254D1">
        <w:t xml:space="preserve">/group). Data represented as mean ± SEM; </w:t>
      </w:r>
      <w:r>
        <w:t>*</w:t>
      </w:r>
      <w:r w:rsidRPr="001254D1">
        <w:t xml:space="preserve">P &lt; 0.05 </w:t>
      </w:r>
      <w:r w:rsidRPr="000260BD">
        <w:t>vs</w:t>
      </w:r>
      <w:r>
        <w:t>.</w:t>
      </w:r>
      <w:r w:rsidRPr="000260BD">
        <w:t xml:space="preserve"> ICV control</w:t>
      </w:r>
    </w:p>
    <w:p w14:paraId="1493BF36" w14:textId="77777777" w:rsidR="00B325F1" w:rsidRDefault="00B325F1" w:rsidP="00ED210B">
      <w:pPr>
        <w:spacing w:line="480" w:lineRule="auto"/>
        <w:jc w:val="both"/>
      </w:pPr>
    </w:p>
    <w:p w14:paraId="0E99E0B0" w14:textId="1F798944" w:rsidR="00ED210B" w:rsidRDefault="00ED210B" w:rsidP="00ED210B">
      <w:pPr>
        <w:spacing w:line="480" w:lineRule="auto"/>
        <w:jc w:val="both"/>
      </w:pPr>
      <w:r>
        <w:t xml:space="preserve">Supplemental Figure </w:t>
      </w:r>
      <w:r w:rsidR="00B325F1">
        <w:t>3</w:t>
      </w:r>
      <w:r>
        <w:t>. 12 days ICV α-klotho treatment does not affect insulin sensitivity in peripheral tissues of DIO mice. Insulin stimulated signaling (10U/kg 7 minutes before euthanasia) in (A) Skeletal muscle, (B) Liver, (C) Epididymal adipose tissue, and (D) Hypothalamus</w:t>
      </w:r>
      <w:r w:rsidR="00D4226D">
        <w:t>, and (E) Body weight</w:t>
      </w:r>
      <w:r>
        <w:t xml:space="preserve"> i</w:t>
      </w:r>
      <w:r w:rsidRPr="00FF37F5">
        <w:t xml:space="preserve">n 17-18-week-old </w:t>
      </w:r>
      <w:r w:rsidR="00D4226D">
        <w:t xml:space="preserve">weight-matched </w:t>
      </w:r>
      <w:r w:rsidRPr="00FF37F5">
        <w:t>male DIO mice</w:t>
      </w:r>
      <w:r>
        <w:t xml:space="preserve"> after 12 days ICV α-klotho or vehicle injections (n = 4/group)</w:t>
      </w:r>
      <w:r w:rsidRPr="001254D1">
        <w:t xml:space="preserve">. Data represented as mean ± SEM; </w:t>
      </w:r>
      <w:r>
        <w:t>*</w:t>
      </w:r>
      <w:r w:rsidRPr="001254D1">
        <w:t xml:space="preserve">P &lt; 0.05 </w:t>
      </w:r>
      <w:r w:rsidRPr="000260BD">
        <w:t>vs</w:t>
      </w:r>
      <w:r>
        <w:t>.</w:t>
      </w:r>
      <w:r w:rsidRPr="000260BD">
        <w:t xml:space="preserve"> ICV control</w:t>
      </w:r>
      <w:r>
        <w:t>s.</w:t>
      </w:r>
    </w:p>
    <w:p w14:paraId="42162EAF" w14:textId="77777777" w:rsidR="00ED210B" w:rsidRDefault="00ED210B" w:rsidP="00367C29">
      <w:pPr>
        <w:spacing w:line="480" w:lineRule="auto"/>
        <w:jc w:val="both"/>
      </w:pPr>
    </w:p>
    <w:p w14:paraId="15BDE8C7" w14:textId="19BBEAB6" w:rsidR="00367C29" w:rsidRDefault="00367C29" w:rsidP="00367C29">
      <w:pPr>
        <w:spacing w:line="480" w:lineRule="auto"/>
        <w:jc w:val="both"/>
      </w:pPr>
      <w:r>
        <w:t xml:space="preserve">Supplemental Figure </w:t>
      </w:r>
      <w:r w:rsidR="00B325F1">
        <w:t>4</w:t>
      </w:r>
      <w:r>
        <w:t xml:space="preserve">. </w:t>
      </w:r>
      <w:r w:rsidR="004F49AA">
        <w:t xml:space="preserve">12 days ICV </w:t>
      </w:r>
      <w:r w:rsidR="00BE3354">
        <w:t>α-klotho</w:t>
      </w:r>
      <w:r w:rsidR="004F49AA">
        <w:t xml:space="preserve"> treatment alters gene mRNA levels of key metabolic genes in the liver.</w:t>
      </w:r>
      <w:r>
        <w:t xml:space="preserve"> (A) </w:t>
      </w:r>
      <w:r w:rsidR="00906B14">
        <w:t xml:space="preserve">Hypothalamic gene expression </w:t>
      </w:r>
      <w:r w:rsidR="00D3127B">
        <w:t>of agouti-related peptide (</w:t>
      </w:r>
      <w:proofErr w:type="spellStart"/>
      <w:r w:rsidR="00D3127B">
        <w:t>AgRP</w:t>
      </w:r>
      <w:proofErr w:type="spellEnd"/>
      <w:r w:rsidR="00D3127B">
        <w:t>), neuropeptide Y (NPY), pro-opiomelanocortin (POMC), and melanocortin-4 receptor (MC4R)</w:t>
      </w:r>
      <w:r w:rsidR="004F49AA">
        <w:t>,</w:t>
      </w:r>
      <w:r w:rsidR="00D3127B">
        <w:t xml:space="preserve"> </w:t>
      </w:r>
      <w:r w:rsidR="00906B14">
        <w:t xml:space="preserve">(B) </w:t>
      </w:r>
      <w:r w:rsidR="00D3127B">
        <w:lastRenderedPageBreak/>
        <w:t>W</w:t>
      </w:r>
      <w:r>
        <w:t xml:space="preserve">estern blot illustrating </w:t>
      </w:r>
      <w:r w:rsidR="00D3127B">
        <w:t>the effects of</w:t>
      </w:r>
      <w:r>
        <w:t xml:space="preserve"> α-klotho </w:t>
      </w:r>
      <w:r w:rsidR="00D3127B">
        <w:t>on basal phosphorylation of AKT</w:t>
      </w:r>
      <w:r w:rsidR="00D3127B">
        <w:rPr>
          <w:vertAlign w:val="superscript"/>
        </w:rPr>
        <w:t xml:space="preserve">ser473 </w:t>
      </w:r>
      <w:r w:rsidR="00D3127B">
        <w:t>in skeletal muscle</w:t>
      </w:r>
      <w:r w:rsidR="004F49AA">
        <w:t>,</w:t>
      </w:r>
      <w:r>
        <w:t xml:space="preserve"> (</w:t>
      </w:r>
      <w:r w:rsidR="00D3127B">
        <w:t>C</w:t>
      </w:r>
      <w:r>
        <w:t xml:space="preserve">) </w:t>
      </w:r>
      <w:r w:rsidR="006150FC">
        <w:t xml:space="preserve">Liver gene expression of pyruvate kinase (PK), phosphoenolpyruvate </w:t>
      </w:r>
      <w:proofErr w:type="spellStart"/>
      <w:r w:rsidR="006150FC">
        <w:t>carboxykinase</w:t>
      </w:r>
      <w:proofErr w:type="spellEnd"/>
      <w:r w:rsidR="006150FC">
        <w:t xml:space="preserve"> (PEPCK), glucose-6-phosphatase (G6Pase), and glucokinase (GK), </w:t>
      </w:r>
      <w:r>
        <w:t xml:space="preserve">(D) </w:t>
      </w:r>
      <w:r w:rsidR="006150FC">
        <w:t xml:space="preserve">Liver gene expression of fatty acid synthase (FAS), carnitine palmitoyl transferase 1 (CPT1), and acetyl CoA carboxylase (ACC), </w:t>
      </w:r>
      <w:r w:rsidR="004F49AA">
        <w:t xml:space="preserve">and </w:t>
      </w:r>
      <w:r w:rsidR="00D3127B">
        <w:t>(E) Liver Oil Red O stains</w:t>
      </w:r>
      <w:r w:rsidR="004F49AA">
        <w:t xml:space="preserve"> in </w:t>
      </w:r>
      <w:r w:rsidR="004F49AA" w:rsidRPr="00FF37F5">
        <w:t>17-18-week-old male DIO mice</w:t>
      </w:r>
      <w:r w:rsidR="004F49AA">
        <w:t xml:space="preserve"> after 12 days ICV α-klotho or vehicle injections (n = 4-5/group). </w:t>
      </w:r>
      <w:r>
        <w:t xml:space="preserve">Data represented as mean ± SEM; </w:t>
      </w:r>
      <w:r w:rsidR="00ED210B">
        <w:t>*</w:t>
      </w:r>
      <w:r>
        <w:t>P &lt; 0.05 indicates significant difference between groups.</w:t>
      </w:r>
    </w:p>
    <w:p w14:paraId="3197CC45" w14:textId="05D0B99B" w:rsidR="00367C29" w:rsidRDefault="00367C29" w:rsidP="00367C29">
      <w:pPr>
        <w:spacing w:line="480" w:lineRule="auto"/>
        <w:jc w:val="both"/>
      </w:pPr>
    </w:p>
    <w:p w14:paraId="7A4EE464" w14:textId="45DAF3D9" w:rsidR="00367C29" w:rsidRDefault="00367C29" w:rsidP="00367C29">
      <w:pPr>
        <w:spacing w:line="480" w:lineRule="auto"/>
        <w:jc w:val="both"/>
      </w:pPr>
      <w:r>
        <w:t xml:space="preserve">Supplemental Figure </w:t>
      </w:r>
      <w:r w:rsidR="00B325F1">
        <w:t>5</w:t>
      </w:r>
      <w:r>
        <w:t>. 7 days ICV treatment with anti-α</w:t>
      </w:r>
      <w:r w:rsidR="004F49AA">
        <w:t>-</w:t>
      </w:r>
      <w:r>
        <w:t>klotho antibody has no significant effects on hypothalamic gene expression, liver gene expression, or skeletal muscle pAKT</w:t>
      </w:r>
      <w:r w:rsidRPr="00D95148">
        <w:rPr>
          <w:vertAlign w:val="superscript"/>
        </w:rPr>
        <w:t>ser473</w:t>
      </w:r>
      <w:r w:rsidR="004F49AA">
        <w:t xml:space="preserve">. </w:t>
      </w:r>
      <w:r>
        <w:t xml:space="preserve">(A) </w:t>
      </w:r>
      <w:r w:rsidR="00D3127B">
        <w:t xml:space="preserve">Western blot illustrating specificity of anti-α-klotho antibody to bind to α-klotho using kidney as a positive control. </w:t>
      </w:r>
      <w:r w:rsidR="004F49AA">
        <w:t>(B) Western blot illustrating the ability of anti-</w:t>
      </w:r>
      <w:r w:rsidR="00BE3354">
        <w:t>α-klotho</w:t>
      </w:r>
      <w:r w:rsidR="004F49AA">
        <w:t xml:space="preserve"> antibody to suppress </w:t>
      </w:r>
      <w:r w:rsidR="00BE3354">
        <w:t>α-klotho</w:t>
      </w:r>
      <w:r w:rsidR="004F49AA">
        <w:t xml:space="preserve">-mediated cell signaling in GT1-7 cells. (C) </w:t>
      </w:r>
      <w:r>
        <w:t xml:space="preserve">Hypothalamic gene expression of </w:t>
      </w:r>
      <w:proofErr w:type="spellStart"/>
      <w:r>
        <w:t>AgRP</w:t>
      </w:r>
      <w:proofErr w:type="spellEnd"/>
      <w:r>
        <w:t>, NPY, POMC, and melanocortin-4 recepto</w:t>
      </w:r>
      <w:r w:rsidR="004F49AA">
        <w:t>r,</w:t>
      </w:r>
      <w:r>
        <w:t xml:space="preserve"> (</w:t>
      </w:r>
      <w:r w:rsidR="004F49AA">
        <w:t>D</w:t>
      </w:r>
      <w:r>
        <w:t xml:space="preserve">) </w:t>
      </w:r>
      <w:r w:rsidR="004F49AA">
        <w:t>L</w:t>
      </w:r>
      <w:r>
        <w:t xml:space="preserve">iver gene expression of pyruvate kinase (PK), phosphoenolpyruvate </w:t>
      </w:r>
      <w:proofErr w:type="spellStart"/>
      <w:r>
        <w:t>carboxykinase</w:t>
      </w:r>
      <w:proofErr w:type="spellEnd"/>
      <w:r>
        <w:t xml:space="preserve"> (PEPCK), glucose-6-phosphatase (G6Pase), and glucokinase (GK)</w:t>
      </w:r>
      <w:r w:rsidR="004F49AA">
        <w:t xml:space="preserve">, and </w:t>
      </w:r>
      <w:r>
        <w:t>(</w:t>
      </w:r>
      <w:r w:rsidR="004F49AA">
        <w:t>E</w:t>
      </w:r>
      <w:r>
        <w:t>) Representative Western Blot of basal phosphorylated AKTser473 in skeletal muscle</w:t>
      </w:r>
      <w:r w:rsidR="004F49AA">
        <w:t xml:space="preserve"> </w:t>
      </w:r>
      <w:r w:rsidR="004F49AA" w:rsidRPr="000260BD">
        <w:t xml:space="preserve">in 9-week-old chow-fed male mice </w:t>
      </w:r>
      <w:r w:rsidR="004F49AA" w:rsidRPr="004D4845">
        <w:t>treat</w:t>
      </w:r>
      <w:r w:rsidR="004F49AA">
        <w:t xml:space="preserve">ed with </w:t>
      </w:r>
      <w:r w:rsidR="004F49AA" w:rsidRPr="004D4845">
        <w:t>anti-α-</w:t>
      </w:r>
      <w:r w:rsidR="004F49AA">
        <w:t>k</w:t>
      </w:r>
      <w:r w:rsidR="004F49AA" w:rsidRPr="004D4845">
        <w:t xml:space="preserve">lotho antibody </w:t>
      </w:r>
      <w:r w:rsidR="004F49AA" w:rsidRPr="000260BD">
        <w:t>compared to vehicle-treated controls</w:t>
      </w:r>
      <w:r w:rsidR="004F49AA">
        <w:t xml:space="preserve"> (n=8/group)</w:t>
      </w:r>
      <w:r>
        <w:t>. Data represented as mean ± SEM; P &lt; 0.05 indicates significant difference between groups.</w:t>
      </w:r>
    </w:p>
    <w:p w14:paraId="3F9CBC26" w14:textId="77777777" w:rsidR="00367C29" w:rsidRDefault="00367C29" w:rsidP="00367C29">
      <w:pPr>
        <w:spacing w:line="480" w:lineRule="auto"/>
        <w:jc w:val="both"/>
      </w:pPr>
    </w:p>
    <w:p w14:paraId="217A36D4" w14:textId="7F6A5CBD" w:rsidR="002711D2" w:rsidRDefault="002711D2" w:rsidP="002711D2">
      <w:pPr>
        <w:spacing w:line="480" w:lineRule="auto"/>
        <w:jc w:val="both"/>
        <w:rPr>
          <w:i/>
          <w:iCs/>
        </w:rPr>
      </w:pPr>
      <w:r>
        <w:t xml:space="preserve">Supplemental Figure </w:t>
      </w:r>
      <w:r w:rsidR="00B325F1">
        <w:t>6</w:t>
      </w:r>
      <w:r w:rsidRPr="001254D1">
        <w:rPr>
          <w:b/>
          <w:bCs/>
        </w:rPr>
        <w:t xml:space="preserve">. </w:t>
      </w:r>
      <w:r w:rsidR="00BE3354">
        <w:t>α-</w:t>
      </w:r>
      <w:r>
        <w:rPr>
          <w:lang w:val="el-GR"/>
        </w:rPr>
        <w:t>Klotho</w:t>
      </w:r>
      <w:r w:rsidRPr="001254D1">
        <w:t xml:space="preserve"> alters cell signaling and neuronal activity in the hypothalamus</w:t>
      </w:r>
      <w:r w:rsidRPr="001254D1">
        <w:rPr>
          <w:i/>
          <w:iCs/>
        </w:rPr>
        <w:t xml:space="preserve">. </w:t>
      </w:r>
    </w:p>
    <w:p w14:paraId="6896325D" w14:textId="17C0164B" w:rsidR="002711D2" w:rsidRPr="001254D1" w:rsidRDefault="002711D2" w:rsidP="002711D2">
      <w:pPr>
        <w:spacing w:line="480" w:lineRule="auto"/>
        <w:jc w:val="both"/>
      </w:pPr>
      <w:r w:rsidRPr="001254D1">
        <w:rPr>
          <w:b/>
          <w:bCs/>
        </w:rPr>
        <w:t>(A)</w:t>
      </w:r>
      <w:r w:rsidRPr="001254D1">
        <w:t xml:space="preserve"> Representative Western Blot </w:t>
      </w:r>
      <w:r>
        <w:t xml:space="preserve">image and quantification </w:t>
      </w:r>
      <w:r w:rsidRPr="001254D1">
        <w:t xml:space="preserve">illustrating the effects of 30 minutes 3.65mM </w:t>
      </w:r>
      <w:r>
        <w:rPr>
          <w:lang w:val="el-GR"/>
        </w:rPr>
        <w:t>α-</w:t>
      </w:r>
      <w:r>
        <w:t>k</w:t>
      </w:r>
      <w:r>
        <w:rPr>
          <w:lang w:val="el-GR"/>
        </w:rPr>
        <w:t>lotho</w:t>
      </w:r>
      <w:r w:rsidRPr="001254D1">
        <w:t xml:space="preserve"> treatment on phosphorylation of ERK</w:t>
      </w:r>
      <w:r w:rsidRPr="001254D1">
        <w:rPr>
          <w:vertAlign w:val="superscript"/>
        </w:rPr>
        <w:t>thr202/tyr204</w:t>
      </w:r>
      <w:r w:rsidRPr="001254D1">
        <w:t>, AKT</w:t>
      </w:r>
      <w:r w:rsidRPr="001254D1">
        <w:rPr>
          <w:vertAlign w:val="superscript"/>
        </w:rPr>
        <w:t>ser473</w:t>
      </w:r>
      <w:r w:rsidRPr="001254D1">
        <w:t>, and FOXO1</w:t>
      </w:r>
      <w:r w:rsidRPr="001254D1">
        <w:rPr>
          <w:vertAlign w:val="superscript"/>
        </w:rPr>
        <w:t>ser256</w:t>
      </w:r>
      <w:r w:rsidRPr="001254D1">
        <w:t xml:space="preserve"> in </w:t>
      </w:r>
      <w:r w:rsidRPr="001254D1">
        <w:lastRenderedPageBreak/>
        <w:t>GT1-7 cells (n = 4</w:t>
      </w:r>
      <w:r w:rsidR="00FB3652">
        <w:t xml:space="preserve"> mice/</w:t>
      </w:r>
      <w:r w:rsidRPr="001254D1">
        <w:t xml:space="preserve">group) </w:t>
      </w:r>
      <w:r w:rsidRPr="001254D1">
        <w:rPr>
          <w:b/>
          <w:bCs/>
        </w:rPr>
        <w:t>(B)</w:t>
      </w:r>
      <w:r w:rsidRPr="001254D1">
        <w:t xml:space="preserve"> Representative </w:t>
      </w:r>
      <w:r w:rsidRPr="00FF37F5">
        <w:t>immunofluorescence</w:t>
      </w:r>
      <w:r>
        <w:t xml:space="preserve"> </w:t>
      </w:r>
      <w:r w:rsidRPr="00FF37F5">
        <w:t xml:space="preserve">image and quantification illustrating </w:t>
      </w:r>
      <w:r w:rsidRPr="001254D1">
        <w:t xml:space="preserve">the effects of acute ICV administration of 2.0 </w:t>
      </w:r>
      <w:proofErr w:type="spellStart"/>
      <w:r w:rsidRPr="001254D1">
        <w:t>uL</w:t>
      </w:r>
      <w:proofErr w:type="spellEnd"/>
      <w:r w:rsidRPr="001254D1">
        <w:t xml:space="preserve"> of 1.0 ug/</w:t>
      </w:r>
      <w:proofErr w:type="spellStart"/>
      <w:r w:rsidRPr="001254D1">
        <w:t>uL</w:t>
      </w:r>
      <w:proofErr w:type="spellEnd"/>
      <w:r w:rsidRPr="001254D1">
        <w:t xml:space="preserve"> </w:t>
      </w:r>
      <w:r>
        <w:rPr>
          <w:lang w:val="el-GR"/>
        </w:rPr>
        <w:t>α-</w:t>
      </w:r>
      <w:r>
        <w:t>k</w:t>
      </w:r>
      <w:r>
        <w:rPr>
          <w:lang w:val="el-GR"/>
        </w:rPr>
        <w:t>lotho</w:t>
      </w:r>
      <w:r w:rsidRPr="001254D1">
        <w:t xml:space="preserve"> compared to 2.0 </w:t>
      </w:r>
      <w:proofErr w:type="spellStart"/>
      <w:r w:rsidRPr="001254D1">
        <w:t>uL</w:t>
      </w:r>
      <w:proofErr w:type="spellEnd"/>
      <w:r w:rsidRPr="001254D1">
        <w:t xml:space="preserve"> vehicle on phosphorylation of ERK</w:t>
      </w:r>
      <w:r w:rsidRPr="001254D1">
        <w:rPr>
          <w:vertAlign w:val="superscript"/>
        </w:rPr>
        <w:t>thr202/tyr204</w:t>
      </w:r>
      <w:r w:rsidRPr="001254D1">
        <w:t xml:space="preserve"> in the arcuate nucleus of the hypothalamus in 10 week old chow-fed mice (3V: third ventricle) (scale bar = 50 um) (n = 3</w:t>
      </w:r>
      <w:r>
        <w:t>/group</w:t>
      </w:r>
      <w:r w:rsidRPr="001254D1">
        <w:t xml:space="preserve">) </w:t>
      </w:r>
      <w:r w:rsidRPr="001254D1">
        <w:rPr>
          <w:b/>
          <w:bCs/>
        </w:rPr>
        <w:t>(C)</w:t>
      </w:r>
      <w:r w:rsidRPr="001254D1">
        <w:t xml:space="preserve"> The effects of </w:t>
      </w:r>
      <w:r>
        <w:rPr>
          <w:lang w:val="el-GR"/>
        </w:rPr>
        <w:t>α-</w:t>
      </w:r>
      <w:r>
        <w:t>k</w:t>
      </w:r>
      <w:r>
        <w:rPr>
          <w:lang w:val="el-GR"/>
        </w:rPr>
        <w:t>lotho</w:t>
      </w:r>
      <w:r w:rsidRPr="001254D1">
        <w:t xml:space="preserve"> treatment (3.65mM) on </w:t>
      </w:r>
      <w:proofErr w:type="spellStart"/>
      <w:r w:rsidRPr="001254D1">
        <w:t>AgRP</w:t>
      </w:r>
      <w:proofErr w:type="spellEnd"/>
      <w:r w:rsidRPr="001254D1">
        <w:t xml:space="preserve"> mRNA during two hours and overnight serum starvation in GT1-7 cells (n = 4-6/group). Data represented as mean ± SEM; </w:t>
      </w:r>
      <w:r>
        <w:t>*</w:t>
      </w:r>
      <w:r w:rsidRPr="001254D1">
        <w:t xml:space="preserve">P &lt; 0.05 </w:t>
      </w:r>
      <w:bookmarkStart w:id="2" w:name="_Hlk10708019"/>
      <w:r>
        <w:t xml:space="preserve">vs. controls. </w:t>
      </w:r>
    </w:p>
    <w:bookmarkEnd w:id="2"/>
    <w:p w14:paraId="4F085A8D" w14:textId="77777777" w:rsidR="00B325F1" w:rsidRDefault="00B325F1" w:rsidP="00B325F1">
      <w:pPr>
        <w:spacing w:line="480" w:lineRule="auto"/>
        <w:jc w:val="both"/>
      </w:pPr>
    </w:p>
    <w:p w14:paraId="78467CF3" w14:textId="433478BA" w:rsidR="00B325F1" w:rsidRDefault="00B325F1" w:rsidP="00B325F1">
      <w:pPr>
        <w:spacing w:line="480" w:lineRule="auto"/>
        <w:jc w:val="both"/>
      </w:pPr>
      <w:r>
        <w:t xml:space="preserve">Supplemental Figure 7. ICV α-klotho does not cause additional stress in mice. (A) Taste aversion to saccharin water after ICV treatment with 2.0 </w:t>
      </w:r>
      <w:proofErr w:type="spellStart"/>
      <w:r>
        <w:t>uL</w:t>
      </w:r>
      <w:proofErr w:type="spellEnd"/>
      <w:r>
        <w:t xml:space="preserve"> vehicle or 2.0 </w:t>
      </w:r>
      <w:proofErr w:type="spellStart"/>
      <w:r>
        <w:t>uL</w:t>
      </w:r>
      <w:proofErr w:type="spellEnd"/>
      <w:r>
        <w:t xml:space="preserve"> of 1.0ug/</w:t>
      </w:r>
      <w:proofErr w:type="spellStart"/>
      <w:r>
        <w:t>uL</w:t>
      </w:r>
      <w:proofErr w:type="spellEnd"/>
      <w:r>
        <w:t xml:space="preserve"> α-klotho in 13-week old chow-fed mice (n = 2-3/group). IP lithium chloride injection was used as a positive control to elicit an aversion to saccharin water. (B) Nest building behaviors in healthy 8-9-week-old chow-fed and </w:t>
      </w:r>
      <w:proofErr w:type="gramStart"/>
      <w:r>
        <w:t>9-10 week old</w:t>
      </w:r>
      <w:proofErr w:type="gramEnd"/>
      <w:r>
        <w:t xml:space="preserve"> STZ-treated mice treated with 2.0 </w:t>
      </w:r>
      <w:proofErr w:type="spellStart"/>
      <w:r>
        <w:t>uL</w:t>
      </w:r>
      <w:proofErr w:type="spellEnd"/>
      <w:r>
        <w:t xml:space="preserve"> vehicle or 2.0 ug of 1.0 ug/</w:t>
      </w:r>
      <w:proofErr w:type="spellStart"/>
      <w:r>
        <w:t>uL</w:t>
      </w:r>
      <w:proofErr w:type="spellEnd"/>
      <w:r>
        <w:t xml:space="preserve"> α-klotho (n = 3-6/group). Data represented as mean ± SEM; P &lt; 0.05 indicates significant difference between groups.</w:t>
      </w:r>
    </w:p>
    <w:p w14:paraId="1F69448B" w14:textId="77777777" w:rsidR="00B325F1" w:rsidRDefault="00B325F1" w:rsidP="00B325F1">
      <w:pPr>
        <w:spacing w:line="480" w:lineRule="auto"/>
        <w:jc w:val="both"/>
      </w:pPr>
    </w:p>
    <w:p w14:paraId="5124D7C7" w14:textId="0D76BE25" w:rsidR="00B325F1" w:rsidRDefault="00B325F1" w:rsidP="00B325F1">
      <w:pPr>
        <w:spacing w:line="480" w:lineRule="auto"/>
        <w:jc w:val="both"/>
      </w:pPr>
      <w:r>
        <w:t>Supplemental Figure 8. 7 days ICV α-klotho treatment improves glucose regulation and suppresses food intake in female DIO mice. (A-B) Differences in body weight, (C) Average daily food intake, (D) Timeline of food intake, (E-F) Refeeding after daytime food restriction, and (G-H) Blood glucose levels during a glucose tolerance test (1 g/</w:t>
      </w:r>
      <w:proofErr w:type="spellStart"/>
      <w:r>
        <w:t>kgBW</w:t>
      </w:r>
      <w:proofErr w:type="spellEnd"/>
      <w:r>
        <w:t>) after 7 days ICV α-klotho treatment in 17-18-week old DIO female mice (n=4/group). Data represented as mean ± SEM; P &lt; 0.05 indicates significant difference between groups.</w:t>
      </w:r>
    </w:p>
    <w:p w14:paraId="1CC4D366" w14:textId="77777777" w:rsidR="00B325F1" w:rsidRDefault="00B325F1" w:rsidP="00B325F1">
      <w:pPr>
        <w:spacing w:line="480" w:lineRule="auto"/>
        <w:jc w:val="both"/>
      </w:pPr>
    </w:p>
    <w:p w14:paraId="4CD7A86A" w14:textId="0864C421" w:rsidR="00B325F1" w:rsidRPr="002711D2" w:rsidRDefault="00B325F1" w:rsidP="00B325F1">
      <w:pPr>
        <w:spacing w:line="480" w:lineRule="auto"/>
        <w:jc w:val="both"/>
      </w:pPr>
      <w:r>
        <w:lastRenderedPageBreak/>
        <w:t>Supplemental Figure 9. 7 Days ICV α-klotho treatment suppresses food intake in healthy chow-fed mice. (A) Body weight, (B) Change in body weight, (C) Fed blood glucose levels, (D) Daily food intake, and (E) Timeline of food intake in 8-9-week old chow-fed mice (n=8-9/group). Data represented as mean ± SEM; P &lt; 0.05 indicates significant difference between groups.</w:t>
      </w:r>
    </w:p>
    <w:p w14:paraId="7AEAE654" w14:textId="77777777" w:rsidR="00367C29" w:rsidRDefault="00367C29" w:rsidP="00367C29">
      <w:pPr>
        <w:spacing w:line="480" w:lineRule="auto"/>
        <w:jc w:val="both"/>
      </w:pPr>
    </w:p>
    <w:p w14:paraId="4470C125" w14:textId="77777777" w:rsidR="00367C29" w:rsidRDefault="00367C29" w:rsidP="00367C29">
      <w:pPr>
        <w:spacing w:line="480" w:lineRule="auto"/>
        <w:jc w:val="both"/>
      </w:pPr>
      <w:r>
        <w:t>Supplemental Table 1. Primer sequences used in qPCR analysis</w:t>
      </w:r>
    </w:p>
    <w:tbl>
      <w:tblPr>
        <w:tblStyle w:val="TableGrid"/>
        <w:tblW w:w="0" w:type="auto"/>
        <w:jc w:val="center"/>
        <w:tblInd w:w="0" w:type="dxa"/>
        <w:tblLook w:val="04A0" w:firstRow="1" w:lastRow="0" w:firstColumn="1" w:lastColumn="0" w:noHBand="0" w:noVBand="1"/>
      </w:tblPr>
      <w:tblGrid>
        <w:gridCol w:w="1288"/>
        <w:gridCol w:w="3773"/>
        <w:gridCol w:w="4201"/>
      </w:tblGrid>
      <w:tr w:rsidR="00367C29" w14:paraId="49D5F45F" w14:textId="77777777" w:rsidTr="002F10B0">
        <w:trPr>
          <w:jc w:val="center"/>
        </w:trPr>
        <w:tc>
          <w:tcPr>
            <w:tcW w:w="1288" w:type="dxa"/>
            <w:tcBorders>
              <w:top w:val="single" w:sz="4" w:space="0" w:color="auto"/>
              <w:left w:val="single" w:sz="4" w:space="0" w:color="auto"/>
              <w:bottom w:val="single" w:sz="4" w:space="0" w:color="auto"/>
              <w:right w:val="single" w:sz="4" w:space="0" w:color="auto"/>
            </w:tcBorders>
            <w:hideMark/>
          </w:tcPr>
          <w:p w14:paraId="34AE814F" w14:textId="77777777" w:rsidR="00367C29" w:rsidRDefault="00367C29" w:rsidP="002F10B0">
            <w:pPr>
              <w:spacing w:line="480" w:lineRule="auto"/>
              <w:jc w:val="both"/>
              <w:rPr>
                <w:rFonts w:ascii="Times New Roman" w:hAnsi="Times New Roman" w:cs="Times New Roman"/>
                <w:b/>
                <w:szCs w:val="20"/>
              </w:rPr>
            </w:pPr>
            <w:r>
              <w:rPr>
                <w:rFonts w:ascii="Times New Roman" w:hAnsi="Times New Roman" w:cs="Times New Roman"/>
                <w:b/>
                <w:szCs w:val="20"/>
              </w:rPr>
              <w:t>Gene</w:t>
            </w:r>
          </w:p>
        </w:tc>
        <w:tc>
          <w:tcPr>
            <w:tcW w:w="3773" w:type="dxa"/>
            <w:tcBorders>
              <w:top w:val="single" w:sz="4" w:space="0" w:color="auto"/>
              <w:left w:val="single" w:sz="4" w:space="0" w:color="auto"/>
              <w:bottom w:val="single" w:sz="4" w:space="0" w:color="auto"/>
              <w:right w:val="single" w:sz="4" w:space="0" w:color="auto"/>
            </w:tcBorders>
            <w:hideMark/>
          </w:tcPr>
          <w:p w14:paraId="25A37783" w14:textId="77777777" w:rsidR="00367C29" w:rsidRDefault="00367C29" w:rsidP="002F10B0">
            <w:pPr>
              <w:spacing w:line="480" w:lineRule="auto"/>
              <w:jc w:val="both"/>
              <w:rPr>
                <w:rFonts w:ascii="Times New Roman" w:hAnsi="Times New Roman" w:cs="Times New Roman"/>
                <w:b/>
                <w:szCs w:val="20"/>
              </w:rPr>
            </w:pPr>
            <w:r>
              <w:rPr>
                <w:rFonts w:ascii="Times New Roman" w:hAnsi="Times New Roman" w:cs="Times New Roman"/>
                <w:b/>
                <w:szCs w:val="20"/>
              </w:rPr>
              <w:t>Forward primer</w:t>
            </w:r>
          </w:p>
        </w:tc>
        <w:tc>
          <w:tcPr>
            <w:tcW w:w="4201" w:type="dxa"/>
            <w:tcBorders>
              <w:top w:val="single" w:sz="4" w:space="0" w:color="auto"/>
              <w:left w:val="single" w:sz="4" w:space="0" w:color="auto"/>
              <w:bottom w:val="single" w:sz="4" w:space="0" w:color="auto"/>
              <w:right w:val="single" w:sz="4" w:space="0" w:color="auto"/>
            </w:tcBorders>
            <w:hideMark/>
          </w:tcPr>
          <w:p w14:paraId="0B2C9ED4" w14:textId="77777777" w:rsidR="00367C29" w:rsidRDefault="00367C29" w:rsidP="002F10B0">
            <w:pPr>
              <w:spacing w:line="480" w:lineRule="auto"/>
              <w:jc w:val="both"/>
              <w:rPr>
                <w:rFonts w:ascii="Times New Roman" w:hAnsi="Times New Roman" w:cs="Times New Roman"/>
                <w:b/>
                <w:szCs w:val="20"/>
              </w:rPr>
            </w:pPr>
            <w:r>
              <w:rPr>
                <w:rFonts w:ascii="Times New Roman" w:hAnsi="Times New Roman" w:cs="Times New Roman"/>
                <w:b/>
                <w:szCs w:val="20"/>
              </w:rPr>
              <w:t>Reverse primer</w:t>
            </w:r>
          </w:p>
        </w:tc>
      </w:tr>
      <w:tr w:rsidR="00367C29" w14:paraId="62A94D4F" w14:textId="77777777" w:rsidTr="002F10B0">
        <w:trPr>
          <w:jc w:val="center"/>
        </w:trPr>
        <w:tc>
          <w:tcPr>
            <w:tcW w:w="1288" w:type="dxa"/>
            <w:tcBorders>
              <w:top w:val="single" w:sz="4" w:space="0" w:color="auto"/>
              <w:left w:val="single" w:sz="4" w:space="0" w:color="auto"/>
              <w:bottom w:val="single" w:sz="4" w:space="0" w:color="auto"/>
              <w:right w:val="single" w:sz="4" w:space="0" w:color="auto"/>
            </w:tcBorders>
            <w:hideMark/>
          </w:tcPr>
          <w:p w14:paraId="300CB3AF" w14:textId="77777777" w:rsidR="00367C29" w:rsidRDefault="00367C29" w:rsidP="002F10B0">
            <w:pPr>
              <w:spacing w:line="480" w:lineRule="auto"/>
              <w:jc w:val="both"/>
              <w:rPr>
                <w:rFonts w:ascii="Times New Roman" w:hAnsi="Times New Roman" w:cs="Times New Roman"/>
                <w:bCs/>
                <w:i/>
                <w:iCs/>
                <w:szCs w:val="20"/>
              </w:rPr>
            </w:pPr>
            <w:r>
              <w:rPr>
                <w:rFonts w:ascii="Times New Roman" w:hAnsi="Times New Roman" w:cs="Times New Roman"/>
                <w:bCs/>
                <w:i/>
                <w:iCs/>
                <w:szCs w:val="20"/>
              </w:rPr>
              <w:t>GAPDH</w:t>
            </w:r>
          </w:p>
        </w:tc>
        <w:tc>
          <w:tcPr>
            <w:tcW w:w="3773" w:type="dxa"/>
            <w:tcBorders>
              <w:top w:val="single" w:sz="4" w:space="0" w:color="auto"/>
              <w:left w:val="single" w:sz="4" w:space="0" w:color="auto"/>
              <w:bottom w:val="single" w:sz="4" w:space="0" w:color="auto"/>
              <w:right w:val="single" w:sz="4" w:space="0" w:color="auto"/>
            </w:tcBorders>
            <w:hideMark/>
          </w:tcPr>
          <w:p w14:paraId="72560BE0" w14:textId="77777777" w:rsidR="00367C29" w:rsidRDefault="00367C29" w:rsidP="002F10B0">
            <w:pPr>
              <w:spacing w:line="480" w:lineRule="auto"/>
              <w:jc w:val="both"/>
              <w:rPr>
                <w:rFonts w:ascii="Times New Roman" w:hAnsi="Times New Roman" w:cs="Times New Roman"/>
                <w:bCs/>
                <w:szCs w:val="20"/>
              </w:rPr>
            </w:pPr>
            <w:r>
              <w:rPr>
                <w:rFonts w:ascii="Times New Roman" w:hAnsi="Times New Roman" w:cs="Times New Roman"/>
                <w:bCs/>
                <w:szCs w:val="20"/>
              </w:rPr>
              <w:t>AAATGGTGAAGGTCGGTGTG</w:t>
            </w:r>
          </w:p>
        </w:tc>
        <w:tc>
          <w:tcPr>
            <w:tcW w:w="4201" w:type="dxa"/>
            <w:tcBorders>
              <w:top w:val="single" w:sz="4" w:space="0" w:color="auto"/>
              <w:left w:val="single" w:sz="4" w:space="0" w:color="auto"/>
              <w:bottom w:val="single" w:sz="4" w:space="0" w:color="auto"/>
              <w:right w:val="single" w:sz="4" w:space="0" w:color="auto"/>
            </w:tcBorders>
            <w:hideMark/>
          </w:tcPr>
          <w:p w14:paraId="6A127F44" w14:textId="77777777" w:rsidR="00367C29" w:rsidRDefault="00367C29" w:rsidP="002F10B0">
            <w:pPr>
              <w:spacing w:line="480" w:lineRule="auto"/>
              <w:jc w:val="both"/>
              <w:rPr>
                <w:rFonts w:ascii="Times New Roman" w:hAnsi="Times New Roman" w:cs="Times New Roman"/>
                <w:bCs/>
                <w:szCs w:val="20"/>
              </w:rPr>
            </w:pPr>
            <w:r>
              <w:rPr>
                <w:rFonts w:ascii="Times New Roman" w:hAnsi="Times New Roman" w:cs="Times New Roman"/>
                <w:bCs/>
                <w:szCs w:val="20"/>
              </w:rPr>
              <w:t>TGAAGGGGTCGTTGATGG</w:t>
            </w:r>
          </w:p>
        </w:tc>
      </w:tr>
      <w:tr w:rsidR="00367C29" w14:paraId="370A1EA2" w14:textId="77777777" w:rsidTr="002F10B0">
        <w:trPr>
          <w:jc w:val="center"/>
        </w:trPr>
        <w:tc>
          <w:tcPr>
            <w:tcW w:w="1288" w:type="dxa"/>
            <w:tcBorders>
              <w:top w:val="single" w:sz="4" w:space="0" w:color="auto"/>
              <w:left w:val="single" w:sz="4" w:space="0" w:color="auto"/>
              <w:bottom w:val="single" w:sz="4" w:space="0" w:color="auto"/>
              <w:right w:val="single" w:sz="4" w:space="0" w:color="auto"/>
            </w:tcBorders>
            <w:hideMark/>
          </w:tcPr>
          <w:p w14:paraId="1407C856" w14:textId="77777777" w:rsidR="00367C29" w:rsidRDefault="00367C29" w:rsidP="002F10B0">
            <w:pPr>
              <w:spacing w:line="480" w:lineRule="auto"/>
              <w:jc w:val="both"/>
              <w:rPr>
                <w:rFonts w:ascii="Times New Roman" w:hAnsi="Times New Roman" w:cs="Times New Roman"/>
                <w:i/>
                <w:szCs w:val="20"/>
              </w:rPr>
            </w:pPr>
            <w:r>
              <w:rPr>
                <w:rFonts w:ascii="Times New Roman" w:hAnsi="Times New Roman" w:cs="Times New Roman"/>
                <w:i/>
                <w:szCs w:val="20"/>
              </w:rPr>
              <w:t>ACC1</w:t>
            </w:r>
          </w:p>
        </w:tc>
        <w:tc>
          <w:tcPr>
            <w:tcW w:w="3773" w:type="dxa"/>
            <w:tcBorders>
              <w:top w:val="single" w:sz="4" w:space="0" w:color="auto"/>
              <w:left w:val="single" w:sz="4" w:space="0" w:color="auto"/>
              <w:bottom w:val="single" w:sz="4" w:space="0" w:color="auto"/>
              <w:right w:val="single" w:sz="4" w:space="0" w:color="auto"/>
            </w:tcBorders>
            <w:hideMark/>
          </w:tcPr>
          <w:p w14:paraId="099D4FA8" w14:textId="77777777" w:rsidR="00367C29" w:rsidRDefault="00367C29" w:rsidP="002F10B0">
            <w:pPr>
              <w:spacing w:line="480" w:lineRule="auto"/>
              <w:jc w:val="both"/>
              <w:rPr>
                <w:rFonts w:ascii="Times New Roman" w:hAnsi="Times New Roman" w:cs="Times New Roman"/>
                <w:szCs w:val="20"/>
              </w:rPr>
            </w:pPr>
            <w:r>
              <w:rPr>
                <w:rFonts w:ascii="Times New Roman" w:hAnsi="Times New Roman" w:cs="Times New Roman"/>
                <w:szCs w:val="20"/>
              </w:rPr>
              <w:t>CGGCAGTACCTGCGAGTAGAG</w:t>
            </w:r>
          </w:p>
        </w:tc>
        <w:tc>
          <w:tcPr>
            <w:tcW w:w="4201" w:type="dxa"/>
            <w:tcBorders>
              <w:top w:val="single" w:sz="4" w:space="0" w:color="auto"/>
              <w:left w:val="single" w:sz="4" w:space="0" w:color="auto"/>
              <w:bottom w:val="single" w:sz="4" w:space="0" w:color="auto"/>
              <w:right w:val="single" w:sz="4" w:space="0" w:color="auto"/>
            </w:tcBorders>
            <w:hideMark/>
          </w:tcPr>
          <w:p w14:paraId="73058D49" w14:textId="77777777" w:rsidR="00367C29" w:rsidRDefault="00367C29" w:rsidP="002F10B0">
            <w:pPr>
              <w:spacing w:line="480" w:lineRule="auto"/>
              <w:jc w:val="both"/>
              <w:rPr>
                <w:rFonts w:ascii="Times New Roman" w:hAnsi="Times New Roman" w:cs="Times New Roman"/>
                <w:szCs w:val="20"/>
              </w:rPr>
            </w:pPr>
            <w:r>
              <w:rPr>
                <w:rFonts w:ascii="Times New Roman" w:hAnsi="Times New Roman" w:cs="Times New Roman"/>
                <w:szCs w:val="20"/>
              </w:rPr>
              <w:t>GGGCGAATACACATTTGTCGTA</w:t>
            </w:r>
          </w:p>
        </w:tc>
      </w:tr>
      <w:tr w:rsidR="00367C29" w14:paraId="40599B53" w14:textId="77777777" w:rsidTr="002F10B0">
        <w:trPr>
          <w:jc w:val="center"/>
        </w:trPr>
        <w:tc>
          <w:tcPr>
            <w:tcW w:w="1288" w:type="dxa"/>
            <w:tcBorders>
              <w:top w:val="single" w:sz="4" w:space="0" w:color="auto"/>
              <w:left w:val="single" w:sz="4" w:space="0" w:color="auto"/>
              <w:bottom w:val="single" w:sz="4" w:space="0" w:color="auto"/>
              <w:right w:val="single" w:sz="4" w:space="0" w:color="auto"/>
            </w:tcBorders>
            <w:hideMark/>
          </w:tcPr>
          <w:p w14:paraId="1A460319" w14:textId="77777777" w:rsidR="00367C29" w:rsidRDefault="00367C29" w:rsidP="002F10B0">
            <w:pPr>
              <w:spacing w:line="480" w:lineRule="auto"/>
              <w:jc w:val="both"/>
              <w:rPr>
                <w:rFonts w:ascii="Times New Roman" w:hAnsi="Times New Roman" w:cs="Times New Roman"/>
                <w:i/>
                <w:szCs w:val="20"/>
              </w:rPr>
            </w:pPr>
            <w:r>
              <w:rPr>
                <w:rFonts w:ascii="Times New Roman" w:hAnsi="Times New Roman" w:cs="Times New Roman"/>
                <w:i/>
                <w:szCs w:val="20"/>
              </w:rPr>
              <w:t>ACC2</w:t>
            </w:r>
          </w:p>
        </w:tc>
        <w:tc>
          <w:tcPr>
            <w:tcW w:w="3773" w:type="dxa"/>
            <w:tcBorders>
              <w:top w:val="single" w:sz="4" w:space="0" w:color="auto"/>
              <w:left w:val="single" w:sz="4" w:space="0" w:color="auto"/>
              <w:bottom w:val="single" w:sz="4" w:space="0" w:color="auto"/>
              <w:right w:val="single" w:sz="4" w:space="0" w:color="auto"/>
            </w:tcBorders>
            <w:hideMark/>
          </w:tcPr>
          <w:p w14:paraId="0AF18C2F" w14:textId="77777777" w:rsidR="00367C29" w:rsidRDefault="00367C29" w:rsidP="002F10B0">
            <w:pPr>
              <w:spacing w:line="480" w:lineRule="auto"/>
              <w:jc w:val="both"/>
              <w:rPr>
                <w:rFonts w:ascii="Times New Roman" w:hAnsi="Times New Roman" w:cs="Times New Roman"/>
                <w:szCs w:val="20"/>
              </w:rPr>
            </w:pPr>
            <w:r>
              <w:rPr>
                <w:rFonts w:ascii="Times New Roman" w:hAnsi="Times New Roman" w:cs="Times New Roman"/>
                <w:szCs w:val="20"/>
              </w:rPr>
              <w:t>GGGCCCTGGGAGACAAGA</w:t>
            </w:r>
          </w:p>
        </w:tc>
        <w:tc>
          <w:tcPr>
            <w:tcW w:w="4201" w:type="dxa"/>
            <w:tcBorders>
              <w:top w:val="single" w:sz="4" w:space="0" w:color="auto"/>
              <w:left w:val="single" w:sz="4" w:space="0" w:color="auto"/>
              <w:bottom w:val="single" w:sz="4" w:space="0" w:color="auto"/>
              <w:right w:val="single" w:sz="4" w:space="0" w:color="auto"/>
            </w:tcBorders>
            <w:hideMark/>
          </w:tcPr>
          <w:p w14:paraId="6F9BA018" w14:textId="77777777" w:rsidR="00367C29" w:rsidRDefault="00367C29" w:rsidP="002F10B0">
            <w:pPr>
              <w:spacing w:line="480" w:lineRule="auto"/>
              <w:jc w:val="both"/>
              <w:rPr>
                <w:rFonts w:ascii="Times New Roman" w:hAnsi="Times New Roman" w:cs="Times New Roman"/>
                <w:szCs w:val="20"/>
              </w:rPr>
            </w:pPr>
            <w:r>
              <w:rPr>
                <w:rFonts w:ascii="Times New Roman" w:hAnsi="Times New Roman" w:cs="Times New Roman"/>
                <w:szCs w:val="20"/>
              </w:rPr>
              <w:t>GGGTAAGGTTGGGATTTGCA</w:t>
            </w:r>
          </w:p>
        </w:tc>
      </w:tr>
      <w:tr w:rsidR="00367C29" w14:paraId="3C4EEC9E" w14:textId="77777777" w:rsidTr="002F10B0">
        <w:trPr>
          <w:jc w:val="center"/>
        </w:trPr>
        <w:tc>
          <w:tcPr>
            <w:tcW w:w="1288" w:type="dxa"/>
            <w:tcBorders>
              <w:top w:val="single" w:sz="4" w:space="0" w:color="auto"/>
              <w:left w:val="single" w:sz="4" w:space="0" w:color="auto"/>
              <w:bottom w:val="single" w:sz="4" w:space="0" w:color="auto"/>
              <w:right w:val="single" w:sz="4" w:space="0" w:color="auto"/>
            </w:tcBorders>
            <w:hideMark/>
          </w:tcPr>
          <w:p w14:paraId="48A89A7D" w14:textId="77777777" w:rsidR="00367C29" w:rsidRDefault="00367C29" w:rsidP="002F10B0">
            <w:pPr>
              <w:spacing w:line="480" w:lineRule="auto"/>
              <w:jc w:val="both"/>
              <w:rPr>
                <w:rFonts w:ascii="Times New Roman" w:hAnsi="Times New Roman" w:cs="Times New Roman"/>
                <w:i/>
                <w:szCs w:val="20"/>
              </w:rPr>
            </w:pPr>
            <w:r>
              <w:rPr>
                <w:rFonts w:ascii="Times New Roman" w:hAnsi="Times New Roman" w:cs="Times New Roman"/>
                <w:i/>
                <w:szCs w:val="20"/>
              </w:rPr>
              <w:t>FAS</w:t>
            </w:r>
          </w:p>
        </w:tc>
        <w:tc>
          <w:tcPr>
            <w:tcW w:w="3773" w:type="dxa"/>
            <w:tcBorders>
              <w:top w:val="single" w:sz="4" w:space="0" w:color="auto"/>
              <w:left w:val="single" w:sz="4" w:space="0" w:color="auto"/>
              <w:bottom w:val="single" w:sz="4" w:space="0" w:color="auto"/>
              <w:right w:val="single" w:sz="4" w:space="0" w:color="auto"/>
            </w:tcBorders>
            <w:hideMark/>
          </w:tcPr>
          <w:p w14:paraId="073B975D" w14:textId="77777777" w:rsidR="00367C29" w:rsidRDefault="00367C29" w:rsidP="002F10B0">
            <w:pPr>
              <w:spacing w:line="480" w:lineRule="auto"/>
              <w:jc w:val="both"/>
              <w:rPr>
                <w:rFonts w:ascii="Times New Roman" w:hAnsi="Times New Roman" w:cs="Times New Roman"/>
                <w:szCs w:val="20"/>
              </w:rPr>
            </w:pPr>
            <w:r>
              <w:rPr>
                <w:rFonts w:ascii="Times New Roman" w:hAnsi="Times New Roman" w:cs="Times New Roman"/>
                <w:szCs w:val="20"/>
              </w:rPr>
              <w:t>TTCCAAGACGAAAATGATGC</w:t>
            </w:r>
          </w:p>
        </w:tc>
        <w:tc>
          <w:tcPr>
            <w:tcW w:w="4201" w:type="dxa"/>
            <w:tcBorders>
              <w:top w:val="single" w:sz="4" w:space="0" w:color="auto"/>
              <w:left w:val="single" w:sz="4" w:space="0" w:color="auto"/>
              <w:bottom w:val="single" w:sz="4" w:space="0" w:color="auto"/>
              <w:right w:val="single" w:sz="4" w:space="0" w:color="auto"/>
            </w:tcBorders>
            <w:hideMark/>
          </w:tcPr>
          <w:p w14:paraId="142A781F" w14:textId="77777777" w:rsidR="00367C29" w:rsidRDefault="00367C29" w:rsidP="002F10B0">
            <w:pPr>
              <w:spacing w:line="480" w:lineRule="auto"/>
              <w:jc w:val="both"/>
              <w:rPr>
                <w:rFonts w:ascii="Times New Roman" w:hAnsi="Times New Roman" w:cs="Times New Roman"/>
                <w:szCs w:val="20"/>
              </w:rPr>
            </w:pPr>
            <w:r>
              <w:rPr>
                <w:rFonts w:ascii="Times New Roman" w:hAnsi="Times New Roman" w:cs="Times New Roman"/>
                <w:szCs w:val="20"/>
              </w:rPr>
              <w:t>AATTGTGGGATCAGGAGAGC</w:t>
            </w:r>
          </w:p>
        </w:tc>
      </w:tr>
      <w:tr w:rsidR="00367C29" w14:paraId="61349EB4" w14:textId="77777777" w:rsidTr="002F10B0">
        <w:trPr>
          <w:jc w:val="center"/>
        </w:trPr>
        <w:tc>
          <w:tcPr>
            <w:tcW w:w="1288" w:type="dxa"/>
            <w:tcBorders>
              <w:top w:val="single" w:sz="4" w:space="0" w:color="auto"/>
              <w:left w:val="single" w:sz="4" w:space="0" w:color="auto"/>
              <w:bottom w:val="single" w:sz="4" w:space="0" w:color="auto"/>
              <w:right w:val="single" w:sz="4" w:space="0" w:color="auto"/>
            </w:tcBorders>
            <w:hideMark/>
          </w:tcPr>
          <w:p w14:paraId="3AD83B72" w14:textId="77777777" w:rsidR="00367C29" w:rsidRDefault="00367C29" w:rsidP="002F10B0">
            <w:pPr>
              <w:spacing w:line="480" w:lineRule="auto"/>
              <w:jc w:val="both"/>
              <w:rPr>
                <w:rFonts w:ascii="Times New Roman" w:hAnsi="Times New Roman" w:cs="Times New Roman"/>
                <w:i/>
                <w:szCs w:val="20"/>
              </w:rPr>
            </w:pPr>
            <w:r>
              <w:rPr>
                <w:rFonts w:ascii="Times New Roman" w:hAnsi="Times New Roman" w:cs="Times New Roman"/>
                <w:i/>
                <w:szCs w:val="20"/>
              </w:rPr>
              <w:t>CPT1</w:t>
            </w:r>
          </w:p>
        </w:tc>
        <w:tc>
          <w:tcPr>
            <w:tcW w:w="3773" w:type="dxa"/>
            <w:tcBorders>
              <w:top w:val="single" w:sz="4" w:space="0" w:color="auto"/>
              <w:left w:val="single" w:sz="4" w:space="0" w:color="auto"/>
              <w:bottom w:val="single" w:sz="4" w:space="0" w:color="auto"/>
              <w:right w:val="single" w:sz="4" w:space="0" w:color="auto"/>
            </w:tcBorders>
            <w:hideMark/>
          </w:tcPr>
          <w:p w14:paraId="146D5A49" w14:textId="77777777" w:rsidR="00367C29" w:rsidRDefault="00367C29" w:rsidP="002F10B0">
            <w:pPr>
              <w:spacing w:line="480" w:lineRule="auto"/>
              <w:jc w:val="both"/>
              <w:rPr>
                <w:rFonts w:ascii="Times New Roman" w:hAnsi="Times New Roman" w:cs="Times New Roman"/>
                <w:szCs w:val="20"/>
              </w:rPr>
            </w:pPr>
            <w:r>
              <w:rPr>
                <w:rFonts w:ascii="Times New Roman" w:eastAsia="LegacySerifStd-Book" w:hAnsi="Times New Roman" w:cs="Times New Roman"/>
                <w:szCs w:val="20"/>
              </w:rPr>
              <w:t>TCTTGCAGTCGACTCACCTT</w:t>
            </w:r>
          </w:p>
        </w:tc>
        <w:tc>
          <w:tcPr>
            <w:tcW w:w="4201" w:type="dxa"/>
            <w:tcBorders>
              <w:top w:val="single" w:sz="4" w:space="0" w:color="auto"/>
              <w:left w:val="single" w:sz="4" w:space="0" w:color="auto"/>
              <w:bottom w:val="single" w:sz="4" w:space="0" w:color="auto"/>
              <w:right w:val="single" w:sz="4" w:space="0" w:color="auto"/>
            </w:tcBorders>
            <w:hideMark/>
          </w:tcPr>
          <w:p w14:paraId="422D5C24" w14:textId="77777777" w:rsidR="00367C29" w:rsidRDefault="00367C29" w:rsidP="002F10B0">
            <w:pPr>
              <w:spacing w:line="480" w:lineRule="auto"/>
              <w:jc w:val="both"/>
              <w:rPr>
                <w:rFonts w:ascii="Times New Roman" w:hAnsi="Times New Roman" w:cs="Times New Roman"/>
                <w:szCs w:val="20"/>
              </w:rPr>
            </w:pPr>
            <w:r>
              <w:rPr>
                <w:rFonts w:ascii="Times New Roman" w:eastAsia="LegacySerifStd-Book" w:hAnsi="Times New Roman" w:cs="Times New Roman"/>
                <w:szCs w:val="20"/>
              </w:rPr>
              <w:t>TCCACAGGACACATAGTCAGG</w:t>
            </w:r>
          </w:p>
        </w:tc>
      </w:tr>
      <w:tr w:rsidR="00367C29" w14:paraId="4F8F447B" w14:textId="77777777" w:rsidTr="002F10B0">
        <w:trPr>
          <w:jc w:val="center"/>
        </w:trPr>
        <w:tc>
          <w:tcPr>
            <w:tcW w:w="1288" w:type="dxa"/>
            <w:tcBorders>
              <w:top w:val="single" w:sz="4" w:space="0" w:color="auto"/>
              <w:left w:val="single" w:sz="4" w:space="0" w:color="auto"/>
              <w:bottom w:val="single" w:sz="4" w:space="0" w:color="auto"/>
              <w:right w:val="single" w:sz="4" w:space="0" w:color="auto"/>
            </w:tcBorders>
            <w:hideMark/>
          </w:tcPr>
          <w:p w14:paraId="3AB94020" w14:textId="77777777" w:rsidR="00367C29" w:rsidRDefault="00367C29" w:rsidP="002F10B0">
            <w:pPr>
              <w:spacing w:line="480" w:lineRule="auto"/>
              <w:jc w:val="both"/>
              <w:rPr>
                <w:rFonts w:ascii="Times New Roman" w:hAnsi="Times New Roman" w:cs="Times New Roman"/>
                <w:i/>
                <w:szCs w:val="20"/>
              </w:rPr>
            </w:pPr>
            <w:r>
              <w:rPr>
                <w:rFonts w:ascii="Times New Roman" w:hAnsi="Times New Roman" w:cs="Times New Roman"/>
                <w:i/>
                <w:szCs w:val="20"/>
              </w:rPr>
              <w:t>G6Pase</w:t>
            </w:r>
          </w:p>
        </w:tc>
        <w:tc>
          <w:tcPr>
            <w:tcW w:w="3773" w:type="dxa"/>
            <w:tcBorders>
              <w:top w:val="single" w:sz="4" w:space="0" w:color="auto"/>
              <w:left w:val="single" w:sz="4" w:space="0" w:color="auto"/>
              <w:bottom w:val="single" w:sz="4" w:space="0" w:color="auto"/>
              <w:right w:val="single" w:sz="4" w:space="0" w:color="auto"/>
            </w:tcBorders>
            <w:hideMark/>
          </w:tcPr>
          <w:p w14:paraId="6FDDD234" w14:textId="77777777" w:rsidR="00367C29" w:rsidRDefault="00367C29" w:rsidP="002F10B0">
            <w:pPr>
              <w:spacing w:line="480" w:lineRule="auto"/>
              <w:jc w:val="both"/>
              <w:rPr>
                <w:rFonts w:ascii="Times New Roman" w:hAnsi="Times New Roman" w:cs="Times New Roman"/>
                <w:szCs w:val="20"/>
              </w:rPr>
            </w:pPr>
            <w:r>
              <w:rPr>
                <w:rFonts w:ascii="Times New Roman" w:hAnsi="Times New Roman" w:cs="Times New Roman"/>
                <w:szCs w:val="20"/>
              </w:rPr>
              <w:t>TTACCAAGACTCCCAGGACTG</w:t>
            </w:r>
          </w:p>
        </w:tc>
        <w:tc>
          <w:tcPr>
            <w:tcW w:w="4201" w:type="dxa"/>
            <w:tcBorders>
              <w:top w:val="single" w:sz="4" w:space="0" w:color="auto"/>
              <w:left w:val="single" w:sz="4" w:space="0" w:color="auto"/>
              <w:bottom w:val="single" w:sz="4" w:space="0" w:color="auto"/>
              <w:right w:val="single" w:sz="4" w:space="0" w:color="auto"/>
            </w:tcBorders>
            <w:hideMark/>
          </w:tcPr>
          <w:p w14:paraId="2BD61924" w14:textId="77777777" w:rsidR="00367C29" w:rsidRDefault="00367C29" w:rsidP="002F10B0">
            <w:pPr>
              <w:spacing w:line="480" w:lineRule="auto"/>
              <w:jc w:val="both"/>
              <w:rPr>
                <w:rFonts w:ascii="Times New Roman" w:hAnsi="Times New Roman" w:cs="Times New Roman"/>
                <w:szCs w:val="20"/>
              </w:rPr>
            </w:pPr>
            <w:r>
              <w:rPr>
                <w:rFonts w:ascii="Times New Roman" w:hAnsi="Times New Roman" w:cs="Times New Roman"/>
                <w:szCs w:val="20"/>
              </w:rPr>
              <w:t>GAGCTGTTGCTGTAGTAGTCG</w:t>
            </w:r>
          </w:p>
        </w:tc>
      </w:tr>
      <w:tr w:rsidR="00367C29" w14:paraId="648E108A" w14:textId="77777777" w:rsidTr="002F10B0">
        <w:trPr>
          <w:jc w:val="center"/>
        </w:trPr>
        <w:tc>
          <w:tcPr>
            <w:tcW w:w="1288" w:type="dxa"/>
            <w:tcBorders>
              <w:top w:val="single" w:sz="4" w:space="0" w:color="auto"/>
              <w:left w:val="single" w:sz="4" w:space="0" w:color="auto"/>
              <w:bottom w:val="single" w:sz="4" w:space="0" w:color="auto"/>
              <w:right w:val="single" w:sz="4" w:space="0" w:color="auto"/>
            </w:tcBorders>
            <w:hideMark/>
          </w:tcPr>
          <w:p w14:paraId="46430AAF" w14:textId="77777777" w:rsidR="00367C29" w:rsidRDefault="00367C29" w:rsidP="002F10B0">
            <w:pPr>
              <w:spacing w:line="480" w:lineRule="auto"/>
              <w:jc w:val="both"/>
              <w:rPr>
                <w:rFonts w:ascii="Times New Roman" w:hAnsi="Times New Roman" w:cs="Times New Roman"/>
                <w:i/>
                <w:szCs w:val="20"/>
              </w:rPr>
            </w:pPr>
            <w:r>
              <w:rPr>
                <w:rFonts w:ascii="Times New Roman" w:hAnsi="Times New Roman" w:cs="Times New Roman"/>
                <w:i/>
                <w:szCs w:val="20"/>
              </w:rPr>
              <w:t>GK</w:t>
            </w:r>
          </w:p>
        </w:tc>
        <w:tc>
          <w:tcPr>
            <w:tcW w:w="3773" w:type="dxa"/>
            <w:tcBorders>
              <w:top w:val="single" w:sz="4" w:space="0" w:color="auto"/>
              <w:left w:val="single" w:sz="4" w:space="0" w:color="auto"/>
              <w:bottom w:val="single" w:sz="4" w:space="0" w:color="auto"/>
              <w:right w:val="single" w:sz="4" w:space="0" w:color="auto"/>
            </w:tcBorders>
            <w:hideMark/>
          </w:tcPr>
          <w:p w14:paraId="14FDB9E9" w14:textId="77777777" w:rsidR="00367C29" w:rsidRDefault="00367C29" w:rsidP="002F10B0">
            <w:pPr>
              <w:spacing w:line="480" w:lineRule="auto"/>
              <w:jc w:val="both"/>
              <w:rPr>
                <w:rFonts w:ascii="Times New Roman" w:hAnsi="Times New Roman" w:cs="Times New Roman"/>
                <w:szCs w:val="20"/>
              </w:rPr>
            </w:pPr>
            <w:r>
              <w:rPr>
                <w:rFonts w:ascii="Times New Roman" w:hAnsi="Times New Roman" w:cs="Times New Roman"/>
                <w:szCs w:val="20"/>
              </w:rPr>
              <w:t>CCCTGAGTGGCTTACAGTTC</w:t>
            </w:r>
          </w:p>
        </w:tc>
        <w:tc>
          <w:tcPr>
            <w:tcW w:w="4201" w:type="dxa"/>
            <w:tcBorders>
              <w:top w:val="single" w:sz="4" w:space="0" w:color="auto"/>
              <w:left w:val="single" w:sz="4" w:space="0" w:color="auto"/>
              <w:bottom w:val="single" w:sz="4" w:space="0" w:color="auto"/>
              <w:right w:val="single" w:sz="4" w:space="0" w:color="auto"/>
            </w:tcBorders>
            <w:hideMark/>
          </w:tcPr>
          <w:p w14:paraId="64D1ED6B" w14:textId="77777777" w:rsidR="00367C29" w:rsidRDefault="00367C29" w:rsidP="002F10B0">
            <w:pPr>
              <w:spacing w:line="480" w:lineRule="auto"/>
              <w:jc w:val="both"/>
              <w:rPr>
                <w:rFonts w:ascii="Times New Roman" w:hAnsi="Times New Roman" w:cs="Times New Roman"/>
                <w:szCs w:val="20"/>
              </w:rPr>
            </w:pPr>
            <w:r>
              <w:rPr>
                <w:rFonts w:ascii="Times New Roman" w:hAnsi="Times New Roman" w:cs="Times New Roman"/>
                <w:szCs w:val="20"/>
              </w:rPr>
              <w:t>ACGGATGTGAGTGTTGAAGC</w:t>
            </w:r>
          </w:p>
        </w:tc>
      </w:tr>
      <w:tr w:rsidR="00367C29" w14:paraId="6CEEE8DD" w14:textId="77777777" w:rsidTr="002F10B0">
        <w:trPr>
          <w:jc w:val="center"/>
        </w:trPr>
        <w:tc>
          <w:tcPr>
            <w:tcW w:w="1288" w:type="dxa"/>
            <w:tcBorders>
              <w:top w:val="single" w:sz="4" w:space="0" w:color="auto"/>
              <w:left w:val="single" w:sz="4" w:space="0" w:color="auto"/>
              <w:bottom w:val="single" w:sz="4" w:space="0" w:color="auto"/>
              <w:right w:val="single" w:sz="4" w:space="0" w:color="auto"/>
            </w:tcBorders>
            <w:hideMark/>
          </w:tcPr>
          <w:p w14:paraId="391D62D6" w14:textId="77777777" w:rsidR="00367C29" w:rsidRDefault="00367C29" w:rsidP="002F10B0">
            <w:pPr>
              <w:spacing w:line="480" w:lineRule="auto"/>
              <w:jc w:val="both"/>
              <w:rPr>
                <w:rFonts w:ascii="Times New Roman" w:hAnsi="Times New Roman" w:cs="Times New Roman"/>
                <w:i/>
                <w:szCs w:val="20"/>
              </w:rPr>
            </w:pPr>
            <w:r>
              <w:rPr>
                <w:rFonts w:ascii="Times New Roman" w:hAnsi="Times New Roman" w:cs="Times New Roman"/>
                <w:i/>
                <w:szCs w:val="20"/>
              </w:rPr>
              <w:t>L-PK</w:t>
            </w:r>
          </w:p>
        </w:tc>
        <w:tc>
          <w:tcPr>
            <w:tcW w:w="3773" w:type="dxa"/>
            <w:tcBorders>
              <w:top w:val="single" w:sz="4" w:space="0" w:color="auto"/>
              <w:left w:val="single" w:sz="4" w:space="0" w:color="auto"/>
              <w:bottom w:val="single" w:sz="4" w:space="0" w:color="auto"/>
              <w:right w:val="single" w:sz="4" w:space="0" w:color="auto"/>
            </w:tcBorders>
            <w:hideMark/>
          </w:tcPr>
          <w:p w14:paraId="37658A61" w14:textId="77777777" w:rsidR="00367C29" w:rsidRDefault="00367C29" w:rsidP="002F10B0">
            <w:pPr>
              <w:spacing w:line="480" w:lineRule="auto"/>
              <w:jc w:val="both"/>
              <w:rPr>
                <w:rFonts w:ascii="Times New Roman" w:hAnsi="Times New Roman" w:cs="Times New Roman"/>
                <w:szCs w:val="20"/>
              </w:rPr>
            </w:pPr>
            <w:r>
              <w:rPr>
                <w:rFonts w:ascii="Times New Roman" w:hAnsi="Times New Roman" w:cs="Times New Roman"/>
                <w:szCs w:val="20"/>
              </w:rPr>
              <w:t>CTTGCTCTACCGTGAGCCTC</w:t>
            </w:r>
          </w:p>
        </w:tc>
        <w:tc>
          <w:tcPr>
            <w:tcW w:w="4201" w:type="dxa"/>
            <w:tcBorders>
              <w:top w:val="single" w:sz="4" w:space="0" w:color="auto"/>
              <w:left w:val="single" w:sz="4" w:space="0" w:color="auto"/>
              <w:bottom w:val="single" w:sz="4" w:space="0" w:color="auto"/>
              <w:right w:val="single" w:sz="4" w:space="0" w:color="auto"/>
            </w:tcBorders>
            <w:hideMark/>
          </w:tcPr>
          <w:p w14:paraId="4D7A6E86" w14:textId="77777777" w:rsidR="00367C29" w:rsidRDefault="00367C29" w:rsidP="002F10B0">
            <w:pPr>
              <w:spacing w:line="480" w:lineRule="auto"/>
              <w:jc w:val="both"/>
              <w:rPr>
                <w:rFonts w:ascii="Times New Roman" w:hAnsi="Times New Roman" w:cs="Times New Roman"/>
                <w:szCs w:val="20"/>
              </w:rPr>
            </w:pPr>
            <w:r>
              <w:rPr>
                <w:rFonts w:ascii="Times New Roman" w:hAnsi="Times New Roman" w:cs="Times New Roman"/>
                <w:szCs w:val="20"/>
              </w:rPr>
              <w:t>ACCACAATCACCAGATCACC</w:t>
            </w:r>
          </w:p>
        </w:tc>
      </w:tr>
      <w:tr w:rsidR="00367C29" w14:paraId="78DF2DAE" w14:textId="77777777" w:rsidTr="002F10B0">
        <w:trPr>
          <w:jc w:val="center"/>
        </w:trPr>
        <w:tc>
          <w:tcPr>
            <w:tcW w:w="1288" w:type="dxa"/>
            <w:tcBorders>
              <w:top w:val="single" w:sz="4" w:space="0" w:color="auto"/>
              <w:left w:val="single" w:sz="4" w:space="0" w:color="auto"/>
              <w:bottom w:val="single" w:sz="4" w:space="0" w:color="auto"/>
              <w:right w:val="single" w:sz="4" w:space="0" w:color="auto"/>
            </w:tcBorders>
            <w:hideMark/>
          </w:tcPr>
          <w:p w14:paraId="24684C7D" w14:textId="77777777" w:rsidR="00367C29" w:rsidRDefault="00367C29" w:rsidP="002F10B0">
            <w:pPr>
              <w:spacing w:line="480" w:lineRule="auto"/>
              <w:jc w:val="both"/>
              <w:rPr>
                <w:rFonts w:ascii="Times New Roman" w:hAnsi="Times New Roman" w:cs="Times New Roman"/>
                <w:i/>
                <w:szCs w:val="20"/>
              </w:rPr>
            </w:pPr>
            <w:r>
              <w:rPr>
                <w:rFonts w:ascii="Times New Roman" w:hAnsi="Times New Roman" w:cs="Times New Roman"/>
                <w:i/>
                <w:szCs w:val="20"/>
              </w:rPr>
              <w:t>PEPCK</w:t>
            </w:r>
          </w:p>
        </w:tc>
        <w:tc>
          <w:tcPr>
            <w:tcW w:w="3773" w:type="dxa"/>
            <w:tcBorders>
              <w:top w:val="single" w:sz="4" w:space="0" w:color="auto"/>
              <w:left w:val="single" w:sz="4" w:space="0" w:color="auto"/>
              <w:bottom w:val="single" w:sz="4" w:space="0" w:color="auto"/>
              <w:right w:val="single" w:sz="4" w:space="0" w:color="auto"/>
            </w:tcBorders>
            <w:hideMark/>
          </w:tcPr>
          <w:p w14:paraId="504B27F5" w14:textId="77777777" w:rsidR="00367C29" w:rsidRDefault="00367C29" w:rsidP="002F10B0">
            <w:pPr>
              <w:spacing w:line="480" w:lineRule="auto"/>
              <w:jc w:val="both"/>
              <w:rPr>
                <w:rFonts w:ascii="Times New Roman" w:hAnsi="Times New Roman" w:cs="Times New Roman"/>
                <w:szCs w:val="20"/>
              </w:rPr>
            </w:pPr>
            <w:r>
              <w:rPr>
                <w:rFonts w:ascii="Times New Roman" w:hAnsi="Times New Roman" w:cs="Times New Roman"/>
                <w:szCs w:val="20"/>
              </w:rPr>
              <w:t>TGGCTACGTC CCTAAGGAA</w:t>
            </w:r>
          </w:p>
        </w:tc>
        <w:tc>
          <w:tcPr>
            <w:tcW w:w="4201" w:type="dxa"/>
            <w:tcBorders>
              <w:top w:val="single" w:sz="4" w:space="0" w:color="auto"/>
              <w:left w:val="single" w:sz="4" w:space="0" w:color="auto"/>
              <w:bottom w:val="single" w:sz="4" w:space="0" w:color="auto"/>
              <w:right w:val="single" w:sz="4" w:space="0" w:color="auto"/>
            </w:tcBorders>
            <w:hideMark/>
          </w:tcPr>
          <w:p w14:paraId="6E48C5F5" w14:textId="77777777" w:rsidR="00367C29" w:rsidRDefault="00367C29" w:rsidP="002F10B0">
            <w:pPr>
              <w:spacing w:line="480" w:lineRule="auto"/>
              <w:jc w:val="both"/>
              <w:rPr>
                <w:rFonts w:ascii="Times New Roman" w:hAnsi="Times New Roman" w:cs="Times New Roman"/>
                <w:szCs w:val="20"/>
              </w:rPr>
            </w:pPr>
            <w:r>
              <w:rPr>
                <w:rFonts w:ascii="Times New Roman" w:hAnsi="Times New Roman" w:cs="Times New Roman"/>
                <w:szCs w:val="20"/>
              </w:rPr>
              <w:t>GGTCCTCCAGATACTTGTCGA</w:t>
            </w:r>
          </w:p>
        </w:tc>
      </w:tr>
      <w:tr w:rsidR="00367C29" w14:paraId="04F47E71" w14:textId="77777777" w:rsidTr="002F10B0">
        <w:trPr>
          <w:jc w:val="center"/>
        </w:trPr>
        <w:tc>
          <w:tcPr>
            <w:tcW w:w="1288" w:type="dxa"/>
            <w:tcBorders>
              <w:top w:val="single" w:sz="4" w:space="0" w:color="auto"/>
              <w:left w:val="single" w:sz="4" w:space="0" w:color="auto"/>
              <w:bottom w:val="single" w:sz="4" w:space="0" w:color="auto"/>
              <w:right w:val="single" w:sz="4" w:space="0" w:color="auto"/>
            </w:tcBorders>
            <w:hideMark/>
          </w:tcPr>
          <w:p w14:paraId="24E858C9" w14:textId="77777777" w:rsidR="00367C29" w:rsidRDefault="00367C29" w:rsidP="002F10B0">
            <w:pPr>
              <w:spacing w:line="480" w:lineRule="auto"/>
              <w:jc w:val="both"/>
              <w:rPr>
                <w:rFonts w:ascii="Times New Roman" w:hAnsi="Times New Roman" w:cs="Times New Roman"/>
                <w:i/>
                <w:szCs w:val="20"/>
              </w:rPr>
            </w:pPr>
            <w:r>
              <w:rPr>
                <w:rFonts w:ascii="Times New Roman" w:hAnsi="Times New Roman" w:cs="Times New Roman"/>
                <w:i/>
                <w:szCs w:val="20"/>
              </w:rPr>
              <w:t>NPY</w:t>
            </w:r>
          </w:p>
        </w:tc>
        <w:tc>
          <w:tcPr>
            <w:tcW w:w="3773" w:type="dxa"/>
            <w:tcBorders>
              <w:top w:val="single" w:sz="4" w:space="0" w:color="auto"/>
              <w:left w:val="single" w:sz="4" w:space="0" w:color="auto"/>
              <w:bottom w:val="single" w:sz="4" w:space="0" w:color="auto"/>
              <w:right w:val="single" w:sz="4" w:space="0" w:color="auto"/>
            </w:tcBorders>
            <w:hideMark/>
          </w:tcPr>
          <w:p w14:paraId="00A2D224" w14:textId="77777777" w:rsidR="00367C29" w:rsidRDefault="00367C29" w:rsidP="002F10B0">
            <w:pPr>
              <w:spacing w:line="480" w:lineRule="auto"/>
              <w:jc w:val="both"/>
              <w:rPr>
                <w:rFonts w:ascii="Times New Roman" w:hAnsi="Times New Roman" w:cs="Times New Roman"/>
                <w:szCs w:val="20"/>
              </w:rPr>
            </w:pPr>
            <w:r>
              <w:rPr>
                <w:rFonts w:ascii="Times New Roman" w:hAnsi="Times New Roman" w:cs="Times New Roman"/>
                <w:szCs w:val="20"/>
              </w:rPr>
              <w:t>CCCAGCTCACATATTTATCTAGAG</w:t>
            </w:r>
          </w:p>
        </w:tc>
        <w:tc>
          <w:tcPr>
            <w:tcW w:w="4201" w:type="dxa"/>
            <w:tcBorders>
              <w:top w:val="single" w:sz="4" w:space="0" w:color="auto"/>
              <w:left w:val="single" w:sz="4" w:space="0" w:color="auto"/>
              <w:bottom w:val="single" w:sz="4" w:space="0" w:color="auto"/>
              <w:right w:val="single" w:sz="4" w:space="0" w:color="auto"/>
            </w:tcBorders>
            <w:hideMark/>
          </w:tcPr>
          <w:p w14:paraId="01646E9F" w14:textId="77777777" w:rsidR="00367C29" w:rsidRDefault="00367C29" w:rsidP="002F10B0">
            <w:pPr>
              <w:spacing w:line="480" w:lineRule="auto"/>
              <w:jc w:val="both"/>
              <w:rPr>
                <w:rFonts w:ascii="Times New Roman" w:hAnsi="Times New Roman" w:cs="Times New Roman"/>
                <w:szCs w:val="20"/>
              </w:rPr>
            </w:pPr>
            <w:r>
              <w:rPr>
                <w:rFonts w:ascii="Times New Roman" w:hAnsi="Times New Roman" w:cs="Times New Roman"/>
                <w:szCs w:val="20"/>
              </w:rPr>
              <w:t>TATGTGGACGGGGCAGAAGATCCAGG</w:t>
            </w:r>
          </w:p>
        </w:tc>
      </w:tr>
      <w:tr w:rsidR="00367C29" w14:paraId="7C191A58" w14:textId="77777777" w:rsidTr="002F10B0">
        <w:trPr>
          <w:jc w:val="center"/>
        </w:trPr>
        <w:tc>
          <w:tcPr>
            <w:tcW w:w="1288" w:type="dxa"/>
            <w:tcBorders>
              <w:top w:val="single" w:sz="4" w:space="0" w:color="auto"/>
              <w:left w:val="single" w:sz="4" w:space="0" w:color="auto"/>
              <w:bottom w:val="single" w:sz="4" w:space="0" w:color="auto"/>
              <w:right w:val="single" w:sz="4" w:space="0" w:color="auto"/>
            </w:tcBorders>
            <w:hideMark/>
          </w:tcPr>
          <w:p w14:paraId="32A36843" w14:textId="77777777" w:rsidR="00367C29" w:rsidRDefault="00367C29" w:rsidP="002F10B0">
            <w:pPr>
              <w:spacing w:line="480" w:lineRule="auto"/>
              <w:jc w:val="both"/>
              <w:rPr>
                <w:rFonts w:ascii="Times New Roman" w:hAnsi="Times New Roman" w:cs="Times New Roman"/>
                <w:i/>
                <w:szCs w:val="20"/>
              </w:rPr>
            </w:pPr>
            <w:proofErr w:type="spellStart"/>
            <w:r>
              <w:rPr>
                <w:rFonts w:ascii="Times New Roman" w:hAnsi="Times New Roman" w:cs="Times New Roman"/>
                <w:i/>
                <w:szCs w:val="20"/>
              </w:rPr>
              <w:t>AgRP</w:t>
            </w:r>
            <w:proofErr w:type="spellEnd"/>
          </w:p>
        </w:tc>
        <w:tc>
          <w:tcPr>
            <w:tcW w:w="3773" w:type="dxa"/>
            <w:tcBorders>
              <w:top w:val="single" w:sz="4" w:space="0" w:color="auto"/>
              <w:left w:val="single" w:sz="4" w:space="0" w:color="auto"/>
              <w:bottom w:val="single" w:sz="4" w:space="0" w:color="auto"/>
              <w:right w:val="single" w:sz="4" w:space="0" w:color="auto"/>
            </w:tcBorders>
            <w:hideMark/>
          </w:tcPr>
          <w:p w14:paraId="41E3AE2D" w14:textId="77777777" w:rsidR="00367C29" w:rsidRDefault="00367C29" w:rsidP="002F10B0">
            <w:pPr>
              <w:spacing w:line="480" w:lineRule="auto"/>
              <w:jc w:val="both"/>
              <w:rPr>
                <w:rFonts w:ascii="Times New Roman" w:hAnsi="Times New Roman" w:cs="Times New Roman"/>
                <w:szCs w:val="20"/>
              </w:rPr>
            </w:pPr>
            <w:r>
              <w:rPr>
                <w:rFonts w:ascii="Times New Roman" w:hAnsi="Times New Roman" w:cs="Times New Roman"/>
                <w:szCs w:val="20"/>
              </w:rPr>
              <w:t>GCGGAGGTGCTAGATCCACA</w:t>
            </w:r>
          </w:p>
        </w:tc>
        <w:tc>
          <w:tcPr>
            <w:tcW w:w="4201" w:type="dxa"/>
            <w:tcBorders>
              <w:top w:val="single" w:sz="4" w:space="0" w:color="auto"/>
              <w:left w:val="single" w:sz="4" w:space="0" w:color="auto"/>
              <w:bottom w:val="single" w:sz="4" w:space="0" w:color="auto"/>
              <w:right w:val="single" w:sz="4" w:space="0" w:color="auto"/>
            </w:tcBorders>
            <w:hideMark/>
          </w:tcPr>
          <w:p w14:paraId="569DBAEE" w14:textId="77777777" w:rsidR="00367C29" w:rsidRDefault="00367C29" w:rsidP="002F10B0">
            <w:pPr>
              <w:spacing w:line="480" w:lineRule="auto"/>
              <w:jc w:val="both"/>
              <w:rPr>
                <w:rFonts w:ascii="Times New Roman" w:hAnsi="Times New Roman" w:cs="Times New Roman"/>
                <w:szCs w:val="20"/>
              </w:rPr>
            </w:pPr>
            <w:r>
              <w:rPr>
                <w:rFonts w:ascii="Times New Roman" w:hAnsi="Times New Roman" w:cs="Times New Roman"/>
                <w:szCs w:val="20"/>
              </w:rPr>
              <w:t>AGGACTCGTGCAGCCTTACAC</w:t>
            </w:r>
          </w:p>
        </w:tc>
      </w:tr>
      <w:tr w:rsidR="00367C29" w14:paraId="16D5EC7D" w14:textId="77777777" w:rsidTr="002F10B0">
        <w:trPr>
          <w:jc w:val="center"/>
        </w:trPr>
        <w:tc>
          <w:tcPr>
            <w:tcW w:w="1288" w:type="dxa"/>
            <w:tcBorders>
              <w:top w:val="single" w:sz="4" w:space="0" w:color="auto"/>
              <w:left w:val="single" w:sz="4" w:space="0" w:color="auto"/>
              <w:bottom w:val="single" w:sz="4" w:space="0" w:color="auto"/>
              <w:right w:val="single" w:sz="4" w:space="0" w:color="auto"/>
            </w:tcBorders>
            <w:hideMark/>
          </w:tcPr>
          <w:p w14:paraId="6A1492A9" w14:textId="77777777" w:rsidR="00367C29" w:rsidRDefault="00367C29" w:rsidP="002F10B0">
            <w:pPr>
              <w:spacing w:line="480" w:lineRule="auto"/>
              <w:jc w:val="both"/>
              <w:rPr>
                <w:rFonts w:ascii="Times New Roman" w:hAnsi="Times New Roman" w:cs="Times New Roman"/>
                <w:i/>
                <w:szCs w:val="20"/>
              </w:rPr>
            </w:pPr>
            <w:r>
              <w:rPr>
                <w:rFonts w:ascii="Times New Roman" w:hAnsi="Times New Roman" w:cs="Times New Roman"/>
                <w:i/>
                <w:szCs w:val="20"/>
              </w:rPr>
              <w:t>POMC</w:t>
            </w:r>
          </w:p>
        </w:tc>
        <w:tc>
          <w:tcPr>
            <w:tcW w:w="3773" w:type="dxa"/>
            <w:tcBorders>
              <w:top w:val="single" w:sz="4" w:space="0" w:color="auto"/>
              <w:left w:val="single" w:sz="4" w:space="0" w:color="auto"/>
              <w:bottom w:val="single" w:sz="4" w:space="0" w:color="auto"/>
              <w:right w:val="single" w:sz="4" w:space="0" w:color="auto"/>
            </w:tcBorders>
            <w:hideMark/>
          </w:tcPr>
          <w:p w14:paraId="324B3E6E" w14:textId="77777777" w:rsidR="00367C29" w:rsidRDefault="00367C29" w:rsidP="002F10B0">
            <w:pPr>
              <w:spacing w:line="480" w:lineRule="auto"/>
              <w:jc w:val="both"/>
              <w:rPr>
                <w:rFonts w:ascii="Times New Roman" w:hAnsi="Times New Roman" w:cs="Times New Roman"/>
                <w:szCs w:val="20"/>
              </w:rPr>
            </w:pPr>
            <w:r>
              <w:rPr>
                <w:rFonts w:ascii="Times New Roman" w:hAnsi="Times New Roman" w:cs="Times New Roman"/>
                <w:szCs w:val="20"/>
              </w:rPr>
              <w:t>CTCCGCTCTGCGACACTACA</w:t>
            </w:r>
          </w:p>
        </w:tc>
        <w:tc>
          <w:tcPr>
            <w:tcW w:w="4201" w:type="dxa"/>
            <w:tcBorders>
              <w:top w:val="single" w:sz="4" w:space="0" w:color="auto"/>
              <w:left w:val="single" w:sz="4" w:space="0" w:color="auto"/>
              <w:bottom w:val="single" w:sz="4" w:space="0" w:color="auto"/>
              <w:right w:val="single" w:sz="4" w:space="0" w:color="auto"/>
            </w:tcBorders>
            <w:hideMark/>
          </w:tcPr>
          <w:p w14:paraId="0BA6BE0F" w14:textId="77777777" w:rsidR="00367C29" w:rsidRDefault="00367C29" w:rsidP="002F10B0">
            <w:pPr>
              <w:spacing w:line="480" w:lineRule="auto"/>
              <w:jc w:val="both"/>
            </w:pPr>
            <w:r>
              <w:rPr>
                <w:rFonts w:ascii="Times New Roman" w:hAnsi="Times New Roman" w:cs="Times New Roman"/>
                <w:szCs w:val="20"/>
              </w:rPr>
              <w:t>ACCTCACCACGGAGAGCAAC</w:t>
            </w:r>
          </w:p>
        </w:tc>
      </w:tr>
      <w:tr w:rsidR="00367C29" w14:paraId="5C003BEE" w14:textId="77777777" w:rsidTr="002F10B0">
        <w:trPr>
          <w:jc w:val="center"/>
        </w:trPr>
        <w:tc>
          <w:tcPr>
            <w:tcW w:w="1288" w:type="dxa"/>
            <w:tcBorders>
              <w:top w:val="single" w:sz="4" w:space="0" w:color="auto"/>
              <w:left w:val="single" w:sz="4" w:space="0" w:color="auto"/>
              <w:bottom w:val="single" w:sz="4" w:space="0" w:color="auto"/>
              <w:right w:val="single" w:sz="4" w:space="0" w:color="auto"/>
            </w:tcBorders>
            <w:hideMark/>
          </w:tcPr>
          <w:p w14:paraId="27DE433D" w14:textId="77777777" w:rsidR="00367C29" w:rsidRDefault="00367C29" w:rsidP="002F10B0">
            <w:pPr>
              <w:spacing w:line="480" w:lineRule="auto"/>
              <w:jc w:val="both"/>
              <w:rPr>
                <w:rFonts w:ascii="Times New Roman" w:hAnsi="Times New Roman" w:cs="Times New Roman"/>
                <w:i/>
                <w:szCs w:val="20"/>
              </w:rPr>
            </w:pPr>
            <w:r>
              <w:rPr>
                <w:rFonts w:ascii="Times New Roman" w:hAnsi="Times New Roman" w:cs="Times New Roman"/>
                <w:i/>
                <w:szCs w:val="20"/>
              </w:rPr>
              <w:t>MC4R</w:t>
            </w:r>
          </w:p>
        </w:tc>
        <w:tc>
          <w:tcPr>
            <w:tcW w:w="3773" w:type="dxa"/>
            <w:tcBorders>
              <w:top w:val="single" w:sz="4" w:space="0" w:color="auto"/>
              <w:left w:val="single" w:sz="4" w:space="0" w:color="auto"/>
              <w:bottom w:val="single" w:sz="4" w:space="0" w:color="auto"/>
              <w:right w:val="single" w:sz="4" w:space="0" w:color="auto"/>
            </w:tcBorders>
            <w:hideMark/>
          </w:tcPr>
          <w:p w14:paraId="14C64E1C" w14:textId="77777777" w:rsidR="00367C29" w:rsidRDefault="00367C29" w:rsidP="002F10B0">
            <w:pPr>
              <w:jc w:val="both"/>
              <w:rPr>
                <w:rFonts w:ascii="Times New Roman" w:hAnsi="Times New Roman" w:cs="Times New Roman"/>
              </w:rPr>
            </w:pPr>
            <w:r>
              <w:rPr>
                <w:rFonts w:ascii="Times New Roman" w:hAnsi="Times New Roman" w:cs="Times New Roman"/>
              </w:rPr>
              <w:t>GCG TTT CGA ATG GGT CGG AAA CCA</w:t>
            </w:r>
          </w:p>
        </w:tc>
        <w:tc>
          <w:tcPr>
            <w:tcW w:w="4201" w:type="dxa"/>
            <w:tcBorders>
              <w:top w:val="single" w:sz="4" w:space="0" w:color="auto"/>
              <w:left w:val="single" w:sz="4" w:space="0" w:color="auto"/>
              <w:bottom w:val="single" w:sz="4" w:space="0" w:color="auto"/>
              <w:right w:val="single" w:sz="4" w:space="0" w:color="auto"/>
            </w:tcBorders>
            <w:hideMark/>
          </w:tcPr>
          <w:p w14:paraId="16AF3E93" w14:textId="77777777" w:rsidR="00367C29" w:rsidRDefault="00367C29" w:rsidP="002F10B0">
            <w:pPr>
              <w:spacing w:line="480" w:lineRule="auto"/>
              <w:jc w:val="both"/>
              <w:rPr>
                <w:rFonts w:ascii="Times New Roman" w:hAnsi="Times New Roman" w:cs="Times New Roman"/>
              </w:rPr>
            </w:pPr>
            <w:r>
              <w:rPr>
                <w:rFonts w:ascii="Times New Roman" w:hAnsi="Times New Roman" w:cs="Times New Roman"/>
              </w:rPr>
              <w:t>CCG CAA TGG AAA GCA GGC TGC AA</w:t>
            </w:r>
          </w:p>
        </w:tc>
      </w:tr>
    </w:tbl>
    <w:p w14:paraId="6E151C7D" w14:textId="77777777" w:rsidR="00367C29" w:rsidRDefault="00367C29" w:rsidP="00367C29">
      <w:pPr>
        <w:spacing w:line="480" w:lineRule="auto"/>
        <w:jc w:val="both"/>
      </w:pPr>
    </w:p>
    <w:p w14:paraId="27429D2C" w14:textId="1AF10616" w:rsidR="00367C29" w:rsidRDefault="00367C29" w:rsidP="00367C29">
      <w:pPr>
        <w:spacing w:line="480" w:lineRule="auto"/>
        <w:jc w:val="both"/>
      </w:pPr>
      <w:r>
        <w:t>SUPPLEMENTAL REFERENCES:</w:t>
      </w:r>
    </w:p>
    <w:p w14:paraId="419474D4" w14:textId="77777777" w:rsidR="00367C29" w:rsidRDefault="00367C29" w:rsidP="00367C29">
      <w:pPr>
        <w:spacing w:line="480" w:lineRule="auto"/>
        <w:jc w:val="both"/>
      </w:pPr>
      <w:r>
        <w:lastRenderedPageBreak/>
        <w:t>[1]</w:t>
      </w:r>
      <w:r>
        <w:tab/>
        <w:t xml:space="preserve">S.S. Negus, B. </w:t>
      </w:r>
      <w:proofErr w:type="spellStart"/>
      <w:r>
        <w:t>Neddenriep</w:t>
      </w:r>
      <w:proofErr w:type="spellEnd"/>
      <w:r>
        <w:t xml:space="preserve">, A.A. </w:t>
      </w:r>
      <w:proofErr w:type="spellStart"/>
      <w:r>
        <w:t>Altarifi</w:t>
      </w:r>
      <w:proofErr w:type="spellEnd"/>
      <w:r>
        <w:t xml:space="preserve">, F.I. Carroll, M.D. </w:t>
      </w:r>
      <w:proofErr w:type="spellStart"/>
      <w:r>
        <w:t>Leitl</w:t>
      </w:r>
      <w:proofErr w:type="spellEnd"/>
      <w:r>
        <w:t xml:space="preserve">, L.L. Miller, Effects of ketoprofen, morphine, and kappa opioids on pain-related depression of nesting in mice., Pain. 156 (2015) 1153–60. </w:t>
      </w:r>
      <w:proofErr w:type="gramStart"/>
      <w:r>
        <w:t>doi:10.1097/j.pain</w:t>
      </w:r>
      <w:proofErr w:type="gramEnd"/>
      <w:r>
        <w:t>.0000000000000171.</w:t>
      </w:r>
    </w:p>
    <w:p w14:paraId="7752CCAB" w14:textId="77777777" w:rsidR="00367C29" w:rsidRDefault="00367C29" w:rsidP="00367C29">
      <w:pPr>
        <w:spacing w:line="480" w:lineRule="auto"/>
        <w:jc w:val="both"/>
      </w:pPr>
      <w:r>
        <w:t>[2]</w:t>
      </w:r>
      <w:r>
        <w:tab/>
        <w:t xml:space="preserve">S.Y. Gil, B.-S. </w:t>
      </w:r>
      <w:proofErr w:type="spellStart"/>
      <w:r>
        <w:t>Youn</w:t>
      </w:r>
      <w:proofErr w:type="spellEnd"/>
      <w:r>
        <w:t xml:space="preserve">, K. Byun, H. Huang, C. </w:t>
      </w:r>
      <w:proofErr w:type="spellStart"/>
      <w:r>
        <w:t>Namkoong</w:t>
      </w:r>
      <w:proofErr w:type="spellEnd"/>
      <w:r>
        <w:t xml:space="preserve">, P.-G. Jang, J.-Y. Lee, Y.-H. Jo, G.M. Kang, H.-K. Kim, M.-S. Shin, C.U. </w:t>
      </w:r>
      <w:proofErr w:type="spellStart"/>
      <w:r>
        <w:t>Pietrzik</w:t>
      </w:r>
      <w:proofErr w:type="spellEnd"/>
      <w:r>
        <w:t xml:space="preserve">, B. Lee, Y.-B. Kim, M.-S. Kim, </w:t>
      </w:r>
      <w:proofErr w:type="spellStart"/>
      <w:r>
        <w:t>Clusterin</w:t>
      </w:r>
      <w:proofErr w:type="spellEnd"/>
      <w:r>
        <w:t xml:space="preserve"> and LRP2 are critical components of the hypothalamic feeding regulatory pathway, Nat. </w:t>
      </w:r>
      <w:proofErr w:type="spellStart"/>
      <w:r>
        <w:t>Commun</w:t>
      </w:r>
      <w:proofErr w:type="spellEnd"/>
      <w:r>
        <w:t>. 4 (2013) 1862. doi:10.1038/ncomms2896.</w:t>
      </w:r>
    </w:p>
    <w:p w14:paraId="3E82AC4A" w14:textId="77777777" w:rsidR="00367C29" w:rsidRDefault="00367C29" w:rsidP="00367C29">
      <w:pPr>
        <w:spacing w:line="480" w:lineRule="auto"/>
        <w:jc w:val="both"/>
      </w:pPr>
      <w:r>
        <w:t>[3]</w:t>
      </w:r>
      <w:r>
        <w:tab/>
        <w:t xml:space="preserve">V. Behringer, J.M.G. Stevens, T. </w:t>
      </w:r>
      <w:proofErr w:type="spellStart"/>
      <w:r>
        <w:t>Deschner</w:t>
      </w:r>
      <w:proofErr w:type="spellEnd"/>
      <w:r>
        <w:t xml:space="preserve">, R. </w:t>
      </w:r>
      <w:proofErr w:type="spellStart"/>
      <w:r>
        <w:t>Sonnweber</w:t>
      </w:r>
      <w:proofErr w:type="spellEnd"/>
      <w:r>
        <w:t>, G. Hohmann, Aging and sex affect soluble alpha klotho levels in bonobos and chimpanzees, Front. Zool. 15 (2018) 35. doi:10.1186/s12983-018-0282-9.</w:t>
      </w:r>
    </w:p>
    <w:p w14:paraId="6CE9CD70" w14:textId="77777777" w:rsidR="005737AA" w:rsidRDefault="005737AA"/>
    <w:sectPr w:rsidR="005737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egacySerifStd-Book">
    <w:altName w:val="Batang"/>
    <w:panose1 w:val="00000000000000000000"/>
    <w:charset w:val="81"/>
    <w:family w:val="roman"/>
    <w:notTrueType/>
    <w:pitch w:val="default"/>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39F"/>
    <w:rsid w:val="00001122"/>
    <w:rsid w:val="000B644B"/>
    <w:rsid w:val="00181CAA"/>
    <w:rsid w:val="002711D2"/>
    <w:rsid w:val="0034026A"/>
    <w:rsid w:val="00367C29"/>
    <w:rsid w:val="00424159"/>
    <w:rsid w:val="004F49AA"/>
    <w:rsid w:val="00532711"/>
    <w:rsid w:val="00551151"/>
    <w:rsid w:val="005737AA"/>
    <w:rsid w:val="005D6AD5"/>
    <w:rsid w:val="006150FC"/>
    <w:rsid w:val="008070BA"/>
    <w:rsid w:val="008611F5"/>
    <w:rsid w:val="008F5177"/>
    <w:rsid w:val="00906B14"/>
    <w:rsid w:val="0092739F"/>
    <w:rsid w:val="00B325F1"/>
    <w:rsid w:val="00BC656E"/>
    <w:rsid w:val="00BE1B1E"/>
    <w:rsid w:val="00BE3354"/>
    <w:rsid w:val="00C56A5A"/>
    <w:rsid w:val="00C9347D"/>
    <w:rsid w:val="00CE7FC7"/>
    <w:rsid w:val="00D3127B"/>
    <w:rsid w:val="00D4226D"/>
    <w:rsid w:val="00D8129E"/>
    <w:rsid w:val="00ED210B"/>
    <w:rsid w:val="00F578BF"/>
    <w:rsid w:val="00F844BF"/>
    <w:rsid w:val="00F95F36"/>
    <w:rsid w:val="00FB36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0B793"/>
  <w15:chartTrackingRefBased/>
  <w15:docId w15:val="{5E1E400D-1ACC-46CF-889D-9B42D1268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7C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2739F"/>
    <w:rPr>
      <w:sz w:val="16"/>
      <w:szCs w:val="16"/>
    </w:rPr>
  </w:style>
  <w:style w:type="paragraph" w:styleId="CommentText">
    <w:name w:val="annotation text"/>
    <w:basedOn w:val="Normal"/>
    <w:link w:val="CommentTextChar"/>
    <w:uiPriority w:val="99"/>
    <w:semiHidden/>
    <w:unhideWhenUsed/>
    <w:rsid w:val="0092739F"/>
    <w:rPr>
      <w:sz w:val="20"/>
      <w:szCs w:val="20"/>
    </w:rPr>
  </w:style>
  <w:style w:type="character" w:customStyle="1" w:styleId="CommentTextChar">
    <w:name w:val="Comment Text Char"/>
    <w:basedOn w:val="DefaultParagraphFont"/>
    <w:link w:val="CommentText"/>
    <w:uiPriority w:val="99"/>
    <w:semiHidden/>
    <w:rsid w:val="0092739F"/>
    <w:rPr>
      <w:sz w:val="20"/>
      <w:szCs w:val="20"/>
    </w:rPr>
  </w:style>
  <w:style w:type="paragraph" w:styleId="BalloonText">
    <w:name w:val="Balloon Text"/>
    <w:basedOn w:val="Normal"/>
    <w:link w:val="BalloonTextChar"/>
    <w:uiPriority w:val="99"/>
    <w:semiHidden/>
    <w:unhideWhenUsed/>
    <w:rsid w:val="0092739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739F"/>
    <w:rPr>
      <w:rFonts w:ascii="Segoe UI" w:hAnsi="Segoe UI" w:cs="Segoe UI"/>
      <w:sz w:val="18"/>
      <w:szCs w:val="18"/>
    </w:rPr>
  </w:style>
  <w:style w:type="table" w:styleId="TableGrid">
    <w:name w:val="Table Grid"/>
    <w:basedOn w:val="TableNormal"/>
    <w:uiPriority w:val="59"/>
    <w:rsid w:val="008611F5"/>
    <w:rPr>
      <w:rFonts w:asciiTheme="minorHAnsi" w:eastAsiaTheme="minorEastAsia" w:hAnsiTheme="minorHAnsi" w:cstheme="minorBidi"/>
      <w:sz w:val="22"/>
      <w:szCs w:val="22"/>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link w:val="DefaultChar"/>
    <w:rsid w:val="00CE7FC7"/>
    <w:pPr>
      <w:autoSpaceDE w:val="0"/>
      <w:autoSpaceDN w:val="0"/>
      <w:adjustRightInd w:val="0"/>
    </w:pPr>
    <w:rPr>
      <w:color w:val="000000"/>
    </w:rPr>
  </w:style>
  <w:style w:type="character" w:customStyle="1" w:styleId="DefaultChar">
    <w:name w:val="Default Char"/>
    <w:basedOn w:val="DefaultParagraphFont"/>
    <w:link w:val="Default"/>
    <w:rsid w:val="00CE7FC7"/>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690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1468</Words>
  <Characters>8373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Landry</dc:creator>
  <cp:keywords/>
  <dc:description/>
  <cp:lastModifiedBy>Taylor Landry</cp:lastModifiedBy>
  <cp:revision>2</cp:revision>
  <dcterms:created xsi:type="dcterms:W3CDTF">2020-04-05T19:45:00Z</dcterms:created>
  <dcterms:modified xsi:type="dcterms:W3CDTF">2020-04-05T19:45:00Z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http://www.zotero.org/styles/biochemical-and-biophysical-research-communications</vt:lpwstr>
  </property>
  <property fmtid="{D5CDD505-2E9C-101B-9397-08002B2CF9AE}" pid="11" name="Mendeley Recent Style Name 4_1">
    <vt:lpwstr>Biochemical and Biophysical Research Communications</vt:lpwstr>
  </property>
  <property fmtid="{D5CDD505-2E9C-101B-9397-08002B2CF9AE}" pid="12" name="Mendeley Recent Style Id 5_1">
    <vt:lpwstr>http://www.zotero.org/styles/chicago-author-date</vt:lpwstr>
  </property>
  <property fmtid="{D5CDD505-2E9C-101B-9397-08002B2CF9AE}" pid="13" name="Mendeley Recent Style Name 5_1">
    <vt:lpwstr>Chicago Manual of Style 16th edition (author-date)</vt:lpwstr>
  </property>
  <property fmtid="{D5CDD505-2E9C-101B-9397-08002B2CF9AE}" pid="14" name="Mendeley Recent Style Id 6_1">
    <vt:lpwstr>http://www.zotero.org/styles/harvard1</vt:lpwstr>
  </property>
  <property fmtid="{D5CDD505-2E9C-101B-9397-08002B2CF9AE}" pid="15" name="Mendeley Recent Style Name 6_1">
    <vt:lpwstr>Harvard Reference format 1 (author-date)</vt:lpwstr>
  </property>
  <property fmtid="{D5CDD505-2E9C-101B-9397-08002B2CF9AE}" pid="16" name="Mendeley Recent Style Id 7_1">
    <vt:lpwstr>http://www.zotero.org/styles/ieee</vt:lpwstr>
  </property>
  <property fmtid="{D5CDD505-2E9C-101B-9397-08002B2CF9AE}" pid="17" name="Mendeley Recent Style Name 7_1">
    <vt:lpwstr>IEEE</vt:lpwstr>
  </property>
  <property fmtid="{D5CDD505-2E9C-101B-9397-08002B2CF9AE}" pid="18" name="Mendeley Recent Style Id 8_1">
    <vt:lpwstr>http://www.zotero.org/styles/medicine-and-science-in-sports-and-exercise</vt:lpwstr>
  </property>
  <property fmtid="{D5CDD505-2E9C-101B-9397-08002B2CF9AE}" pid="19" name="Mendeley Recent Style Name 8_1">
    <vt:lpwstr>Medicine &amp; Science in Sports &amp; Exercise</vt:lpwstr>
  </property>
  <property fmtid="{D5CDD505-2E9C-101B-9397-08002B2CF9AE}" pid="20" name="Mendeley Recent Style Id 9_1">
    <vt:lpwstr>http://www.zotero.org/styles/modern-humanities-research-association</vt:lpwstr>
  </property>
  <property fmtid="{D5CDD505-2E9C-101B-9397-08002B2CF9AE}" pid="21" name="Mendeley Recent Style Name 9_1">
    <vt:lpwstr>Modern Humanities Research Association 3rd edition (note with bibliography)</vt:lpwstr>
  </property>
  <property fmtid="{D5CDD505-2E9C-101B-9397-08002B2CF9AE}" pid="22" name="Mendeley Document_1">
    <vt:lpwstr>True</vt:lpwstr>
  </property>
  <property fmtid="{D5CDD505-2E9C-101B-9397-08002B2CF9AE}" pid="23" name="Mendeley Unique User Id_1">
    <vt:lpwstr>4ef51c12-107b-361e-ad24-f59b47c5d2a3</vt:lpwstr>
  </property>
  <property fmtid="{D5CDD505-2E9C-101B-9397-08002B2CF9AE}" pid="24" name="Mendeley Citation Style_1">
    <vt:lpwstr>http://www.zotero.org/styles/biochemical-and-biophysical-research-communications</vt:lpwstr>
  </property>
</Properties>
</file>