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52" w:rsidRPr="00044E52" w:rsidRDefault="00044E52" w:rsidP="00044E52">
      <w:pPr>
        <w:pStyle w:val="Heading3"/>
        <w:spacing w:line="480" w:lineRule="auto"/>
        <w:jc w:val="center"/>
        <w:rPr>
          <w:rFonts w:ascii="Times New Roman" w:hAnsi="Times New Roman" w:cs="Times New Roman"/>
          <w:b/>
          <w:color w:val="auto"/>
          <w:sz w:val="28"/>
          <w:lang w:val="en-CA"/>
        </w:rPr>
      </w:pPr>
      <w:r w:rsidRPr="00044E52">
        <w:rPr>
          <w:rFonts w:ascii="Times New Roman" w:hAnsi="Times New Roman" w:cs="Times New Roman"/>
          <w:b/>
          <w:color w:val="auto"/>
          <w:sz w:val="28"/>
          <w:lang w:val="en-CA"/>
        </w:rPr>
        <w:t>Supplemental Material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0790"/>
      </w:tblGrid>
      <w:tr w:rsidR="009D49DF" w:rsidTr="009D49DF">
        <w:tc>
          <w:tcPr>
            <w:tcW w:w="10790" w:type="dxa"/>
          </w:tcPr>
          <w:p w:rsidR="009D49DF" w:rsidRPr="00441AE7" w:rsidRDefault="009D49DF" w:rsidP="009D49D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 w:rsidRPr="00441AE7">
              <w:rPr>
                <w:rFonts w:ascii="Times New Roman" w:hAnsi="Times New Roman" w:cs="Times New Roman"/>
                <w:b/>
                <w:sz w:val="24"/>
              </w:rPr>
              <w:t>Justification for Supplemental Materials</w:t>
            </w:r>
          </w:p>
          <w:p w:rsidR="009D49DF" w:rsidRPr="00441AE7" w:rsidRDefault="009D49DF" w:rsidP="009D49D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</w:p>
          <w:p w:rsidR="009D49DF" w:rsidRPr="00FE0BFD" w:rsidRDefault="009D49DF" w:rsidP="009D49DF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Dear Editorial team,</w:t>
            </w:r>
          </w:p>
          <w:p w:rsidR="009D49DF" w:rsidRPr="009D49DF" w:rsidRDefault="009D49DF" w:rsidP="009D49DF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FE0BFD">
              <w:rPr>
                <w:rFonts w:ascii="Times New Roman" w:hAnsi="Times New Roman" w:cs="Times New Roman"/>
                <w:sz w:val="24"/>
              </w:rPr>
              <w:t>Supplemental mater</w:t>
            </w:r>
            <w:r>
              <w:rPr>
                <w:rFonts w:ascii="Times New Roman" w:hAnsi="Times New Roman" w:cs="Times New Roman"/>
                <w:sz w:val="24"/>
              </w:rPr>
              <w:t>ials for this manuscript include</w:t>
            </w:r>
            <w:r w:rsidRPr="00FE0B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the</w:t>
            </w:r>
            <w:r w:rsidRPr="00FE0BFD">
              <w:rPr>
                <w:rFonts w:ascii="Times New Roman" w:hAnsi="Times New Roman" w:cs="Times New Roman"/>
                <w:sz w:val="24"/>
              </w:rPr>
              <w:t xml:space="preserve"> inclusion and exclusion criteria</w:t>
            </w:r>
            <w:r>
              <w:rPr>
                <w:rFonts w:ascii="Times New Roman" w:hAnsi="Times New Roman" w:cs="Times New Roman"/>
                <w:sz w:val="24"/>
              </w:rPr>
              <w:t xml:space="preserve"> for the study, a summary of safety data and adverse events, and a breakdown of adverse events that were reported during the trial</w:t>
            </w:r>
            <w:r w:rsidRPr="00FE0BF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and </w:t>
            </w:r>
            <w:r w:rsidRPr="00FE0BFD">
              <w:rPr>
                <w:rFonts w:ascii="Times New Roman" w:hAnsi="Times New Roman" w:cs="Times New Roman"/>
                <w:sz w:val="24"/>
              </w:rPr>
              <w:t xml:space="preserve">the trial </w:t>
            </w:r>
            <w:r>
              <w:rPr>
                <w:rFonts w:ascii="Times New Roman" w:hAnsi="Times New Roman" w:cs="Times New Roman"/>
                <w:sz w:val="24"/>
              </w:rPr>
              <w:t>CONSORT</w:t>
            </w:r>
            <w:r w:rsidRPr="00FE0BFD">
              <w:rPr>
                <w:rFonts w:ascii="Times New Roman" w:hAnsi="Times New Roman" w:cs="Times New Roman"/>
                <w:sz w:val="24"/>
              </w:rPr>
              <w:t xml:space="preserve"> diagram. We feel that these are helpful to readers, and reviewers, to fully understand the conduct of the trial as well as key outcome and safety data related to this study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9D49DF" w:rsidRDefault="009D49DF" w:rsidP="00C0135B">
      <w:pPr>
        <w:pStyle w:val="NoSpacing"/>
        <w:rPr>
          <w:rFonts w:ascii="Times New Roman" w:hAnsi="Times New Roman" w:cs="Times New Roman"/>
          <w:sz w:val="24"/>
        </w:rPr>
      </w:pPr>
    </w:p>
    <w:p w:rsidR="009D49DF" w:rsidRDefault="009D49DF" w:rsidP="009D49DF">
      <w:pPr>
        <w:pStyle w:val="NoSpacing"/>
        <w:spacing w:line="480" w:lineRule="auto"/>
        <w:rPr>
          <w:rFonts w:ascii="Times New Roman" w:hAnsi="Times New Roman" w:cs="Times New Roman"/>
          <w:b/>
          <w:noProof w:val="0"/>
          <w:lang w:val="en-US"/>
        </w:rPr>
      </w:pPr>
      <w:r>
        <w:rPr>
          <w:rFonts w:ascii="Times New Roman" w:hAnsi="Times New Roman" w:cs="Times New Roman"/>
          <w:b/>
          <w:noProof w:val="0"/>
          <w:lang w:val="en-US"/>
        </w:rPr>
        <w:t>Study Site Investigators</w:t>
      </w:r>
    </w:p>
    <w:tbl>
      <w:tblPr>
        <w:tblW w:w="7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2499"/>
      </w:tblGrid>
      <w:tr w:rsidR="009D49DF" w:rsidRPr="009D49DF" w:rsidTr="009D49DF">
        <w:trPr>
          <w:trHeight w:val="262"/>
          <w:jc w:val="center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Site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CA" w:eastAsia="en-CA"/>
              </w:rPr>
              <w:t>Principal Investigator</w:t>
            </w:r>
          </w:p>
        </w:tc>
      </w:tr>
      <w:tr w:rsidR="009D49DF" w:rsidRPr="009D49DF" w:rsidTr="009D49DF">
        <w:trPr>
          <w:trHeight w:val="262"/>
          <w:jc w:val="center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The Hospital for Sick Children (SickKids)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Dr. Farid Mahmud</w:t>
            </w:r>
          </w:p>
        </w:tc>
      </w:tr>
      <w:tr w:rsidR="009D49DF" w:rsidRPr="009D49DF" w:rsidTr="009D49DF">
        <w:trPr>
          <w:trHeight w:val="262"/>
          <w:jc w:val="center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Children's Hospital of Eastern Ontario (CHEO)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Dr. Margaret Lawson</w:t>
            </w:r>
          </w:p>
        </w:tc>
      </w:tr>
      <w:tr w:rsidR="009D49DF" w:rsidRPr="009D49DF" w:rsidTr="009D49DF">
        <w:trPr>
          <w:trHeight w:val="262"/>
          <w:jc w:val="center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The Ottawa Hospital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Dr. Heather </w:t>
            </w:r>
            <w:proofErr w:type="spellStart"/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Lochnan</w:t>
            </w:r>
            <w:proofErr w:type="spellEnd"/>
          </w:p>
        </w:tc>
      </w:tr>
      <w:tr w:rsidR="009D49DF" w:rsidRPr="009D49DF" w:rsidTr="009D49DF">
        <w:trPr>
          <w:trHeight w:val="262"/>
          <w:jc w:val="center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St. Joseph’s Hospital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Dr. Charlotte MacDonald</w:t>
            </w:r>
          </w:p>
        </w:tc>
      </w:tr>
      <w:tr w:rsidR="009D49DF" w:rsidRPr="009D49DF" w:rsidTr="009D49DF">
        <w:trPr>
          <w:trHeight w:val="262"/>
          <w:jc w:val="center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Kingston General Hospital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Dr. Robyn </w:t>
            </w:r>
            <w:proofErr w:type="spellStart"/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Houlden</w:t>
            </w:r>
            <w:proofErr w:type="spellEnd"/>
          </w:p>
        </w:tc>
      </w:tr>
      <w:tr w:rsidR="009D49DF" w:rsidRPr="009D49DF" w:rsidTr="009D49DF">
        <w:trPr>
          <w:trHeight w:val="262"/>
          <w:jc w:val="center"/>
        </w:trPr>
        <w:tc>
          <w:tcPr>
            <w:tcW w:w="4834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McMaster Hospital</w:t>
            </w:r>
          </w:p>
        </w:tc>
        <w:tc>
          <w:tcPr>
            <w:tcW w:w="2499" w:type="dxa"/>
            <w:shd w:val="clear" w:color="auto" w:fill="auto"/>
            <w:noWrap/>
            <w:vAlign w:val="bottom"/>
            <w:hideMark/>
          </w:tcPr>
          <w:p w:rsidR="009D49DF" w:rsidRPr="009D49DF" w:rsidRDefault="009D49DF" w:rsidP="00CE4D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</w:pPr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 xml:space="preserve">Dr. Zubin </w:t>
            </w:r>
            <w:proofErr w:type="spellStart"/>
            <w:r w:rsidRPr="009D49DF">
              <w:rPr>
                <w:rFonts w:ascii="Times New Roman" w:eastAsia="Times New Roman" w:hAnsi="Times New Roman" w:cs="Times New Roman"/>
                <w:color w:val="000000"/>
                <w:lang w:val="en-CA" w:eastAsia="en-CA"/>
              </w:rPr>
              <w:t>Punthakee</w:t>
            </w:r>
            <w:proofErr w:type="spellEnd"/>
          </w:p>
        </w:tc>
      </w:tr>
    </w:tbl>
    <w:p w:rsidR="00FE0BFD" w:rsidRPr="00441AE7" w:rsidRDefault="00FE0BFD" w:rsidP="00FE0BFD">
      <w:pPr>
        <w:pStyle w:val="NoSpacing"/>
        <w:rPr>
          <w:rFonts w:ascii="Times New Roman" w:hAnsi="Times New Roman" w:cs="Times New Roman"/>
          <w:sz w:val="24"/>
        </w:rPr>
      </w:pPr>
    </w:p>
    <w:p w:rsidR="001B07C5" w:rsidRPr="00044E52" w:rsidRDefault="001B07C5" w:rsidP="00044E52">
      <w:pPr>
        <w:pStyle w:val="Heading3"/>
        <w:spacing w:line="480" w:lineRule="auto"/>
        <w:rPr>
          <w:rFonts w:ascii="Times New Roman" w:hAnsi="Times New Roman" w:cs="Times New Roman"/>
          <w:b/>
          <w:color w:val="auto"/>
          <w:u w:val="single"/>
          <w:lang w:val="en-CA"/>
        </w:rPr>
      </w:pPr>
      <w:r w:rsidRPr="00044E52">
        <w:rPr>
          <w:rFonts w:ascii="Times New Roman" w:hAnsi="Times New Roman" w:cs="Times New Roman"/>
          <w:b/>
          <w:color w:val="auto"/>
          <w:u w:val="single"/>
          <w:lang w:val="en-CA"/>
        </w:rPr>
        <w:t>Supplementa</w:t>
      </w:r>
      <w:r w:rsidR="00044E52" w:rsidRPr="00044E52">
        <w:rPr>
          <w:rFonts w:ascii="Times New Roman" w:hAnsi="Times New Roman" w:cs="Times New Roman"/>
          <w:b/>
          <w:color w:val="auto"/>
          <w:u w:val="single"/>
          <w:lang w:val="en-CA"/>
        </w:rPr>
        <w:t>l</w:t>
      </w:r>
      <w:r w:rsidRPr="00044E52">
        <w:rPr>
          <w:rFonts w:ascii="Times New Roman" w:hAnsi="Times New Roman" w:cs="Times New Roman"/>
          <w:b/>
          <w:color w:val="auto"/>
          <w:u w:val="single"/>
          <w:lang w:val="en-CA"/>
        </w:rPr>
        <w:t xml:space="preserve"> </w:t>
      </w:r>
      <w:r w:rsidR="0056117B" w:rsidRPr="00044E52">
        <w:rPr>
          <w:rFonts w:ascii="Times New Roman" w:hAnsi="Times New Roman" w:cs="Times New Roman"/>
          <w:b/>
          <w:color w:val="auto"/>
          <w:u w:val="single"/>
          <w:lang w:val="en-CA"/>
        </w:rPr>
        <w:t>Tables</w:t>
      </w:r>
    </w:p>
    <w:p w:rsidR="001B07C5" w:rsidRPr="00E71942" w:rsidRDefault="001B07C5" w:rsidP="001B07C5">
      <w:pPr>
        <w:pStyle w:val="NoSpacing"/>
        <w:spacing w:line="480" w:lineRule="auto"/>
        <w:jc w:val="center"/>
        <w:rPr>
          <w:rFonts w:ascii="Times New Roman" w:hAnsi="Times New Roman" w:cs="Times New Roman"/>
          <w:noProof w:val="0"/>
          <w:szCs w:val="24"/>
        </w:rPr>
      </w:pPr>
      <w:r w:rsidRPr="00E71942">
        <w:rPr>
          <w:rFonts w:ascii="Times New Roman" w:hAnsi="Times New Roman" w:cs="Times New Roman"/>
          <w:b/>
          <w:noProof w:val="0"/>
          <w:szCs w:val="24"/>
        </w:rPr>
        <w:t>Supplementa</w:t>
      </w:r>
      <w:r w:rsidR="00044E52">
        <w:rPr>
          <w:rFonts w:ascii="Times New Roman" w:hAnsi="Times New Roman" w:cs="Times New Roman"/>
          <w:b/>
          <w:noProof w:val="0"/>
          <w:szCs w:val="24"/>
        </w:rPr>
        <w:t>l</w:t>
      </w:r>
      <w:r w:rsidRPr="00E71942">
        <w:rPr>
          <w:rFonts w:ascii="Times New Roman" w:hAnsi="Times New Roman" w:cs="Times New Roman"/>
          <w:b/>
          <w:noProof w:val="0"/>
          <w:szCs w:val="24"/>
        </w:rPr>
        <w:t xml:space="preserve"> Table 1</w:t>
      </w:r>
      <w:r w:rsidRPr="00E71942">
        <w:rPr>
          <w:rFonts w:ascii="Times New Roman" w:hAnsi="Times New Roman" w:cs="Times New Roman"/>
          <w:noProof w:val="0"/>
          <w:szCs w:val="24"/>
        </w:rPr>
        <w:t>. Eligibility criteria for CD-DIET Study.</w:t>
      </w:r>
    </w:p>
    <w:p w:rsidR="001B07C5" w:rsidRPr="007C2678" w:rsidRDefault="001B07C5" w:rsidP="007249D7">
      <w:pPr>
        <w:jc w:val="center"/>
        <w:rPr>
          <w:rFonts w:ascii="Times New Roman" w:hAnsi="Times New Roman" w:cs="Times New Roman"/>
          <w:lang w:val="en-CA"/>
        </w:rPr>
      </w:pPr>
      <w:r w:rsidRPr="007C2678">
        <w:rPr>
          <w:rFonts w:ascii="Times New Roman" w:hAnsi="Times New Roman" w:cs="Times New Roman"/>
          <w:b/>
          <w:noProof/>
          <w:lang w:val="en-CA" w:eastAsia="en-CA"/>
        </w:rPr>
        <mc:AlternateContent>
          <mc:Choice Requires="wps">
            <w:drawing>
              <wp:inline distT="0" distB="0" distL="0" distR="0" wp14:anchorId="643772D0" wp14:editId="3E3C8DE6">
                <wp:extent cx="5657850" cy="4143375"/>
                <wp:effectExtent l="0" t="0" r="19050" b="2857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14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4DF7" w:rsidRPr="00F125D0" w:rsidRDefault="00CE4DF7" w:rsidP="001B07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Inclusion Criteria 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Males and females aged 8 to 45 years 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T1D duration </w:t>
                            </w: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sym w:font="Symbol" w:char="F0B3"/>
                            </w: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1 year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Positive CD screen (TTG-IgA serology)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Positive duodenal biopsy for CD (Modified Marsh score </w:t>
                            </w: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sym w:font="Symbol" w:char="F0B3"/>
                            </w: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2)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Ability of the subject or legal representative to speak and read English or French 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Written informed consent with assent of child if applicable </w:t>
                            </w:r>
                          </w:p>
                          <w:p w:rsidR="00CE4DF7" w:rsidRPr="009D49DF" w:rsidRDefault="00CE4DF7" w:rsidP="001B07C5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E4DF7" w:rsidRPr="00F125D0" w:rsidRDefault="00CE4DF7" w:rsidP="001B07C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0"/>
                              </w:rPr>
                              <w:t xml:space="preserve">Exclusion Criteria 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Prior diagnosis of CD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Symptoms or evidence of overt CD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Gastrointestinal symptoms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Anemia 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Abnormal growth or weight loss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Already following GFD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History of osteoporosis 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Recurrent aphthous ulcers or dermatitis herpetiformis 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Pregnancy or breastfeeding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Menopausal or post-menopausal females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Participating in another intervention study</w:t>
                            </w:r>
                          </w:p>
                          <w:p w:rsidR="00CE4DF7" w:rsidRPr="00F125D0" w:rsidRDefault="00CE4DF7" w:rsidP="001B07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F125D0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Any condition which the investigator considered may interfere with the individual’s ability to participate in the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3772D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width:445.5pt;height:3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" fillcolor="white [3201]" strokeweight=".5pt">
                <v:textbox>
                  <w:txbxContent>
                    <w:p w:rsidR="00CE4DF7" w:rsidRPr="00F125D0" w:rsidRDefault="00CE4DF7" w:rsidP="001B07C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Inclusion Criteria 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Males and females aged 8 to 45 years 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T1D duration </w:t>
                      </w: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sym w:font="Symbol" w:char="F0B3"/>
                      </w: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 1 year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Positive CD screen (TTG-IgA serology)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Positive duodenal biopsy for CD (Modified Marsh score </w:t>
                      </w: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sym w:font="Symbol" w:char="F0B3"/>
                      </w: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 2)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Ability of the subject or legal representative to speak and read English or French 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Written informed consent with assent of child if applicable </w:t>
                      </w:r>
                    </w:p>
                    <w:p w:rsidR="00CE4DF7" w:rsidRPr="009D49DF" w:rsidRDefault="00CE4DF7" w:rsidP="001B07C5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E4DF7" w:rsidRPr="00F125D0" w:rsidRDefault="00CE4DF7" w:rsidP="001B07C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b/>
                          <w:sz w:val="24"/>
                          <w:szCs w:val="20"/>
                        </w:rPr>
                        <w:t xml:space="preserve">Exclusion Criteria 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Prior diagnosis of CD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Symptoms or evidence of overt CD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Gastrointestinal symptoms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Anemia 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Abnormal growth or weight loss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Already following GFD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History of osteoporosis 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 xml:space="preserve">Recurrent aphthous ulcers or dermatitis herpetiformis 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Pregnancy or breastfeeding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Menopausal or post-menopausal females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Participating in another intervention study</w:t>
                      </w:r>
                    </w:p>
                    <w:p w:rsidR="00CE4DF7" w:rsidRPr="00F125D0" w:rsidRDefault="00CE4DF7" w:rsidP="001B07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F125D0">
                        <w:rPr>
                          <w:rFonts w:ascii="Times New Roman" w:hAnsi="Times New Roman" w:cs="Times New Roman"/>
                          <w:szCs w:val="20"/>
                        </w:rPr>
                        <w:t>Any condition which the investigator considered may interfere with the individual’s ability to participate in the study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7C5" w:rsidRPr="007C2678" w:rsidRDefault="001B07C5" w:rsidP="001B07C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7C2678">
        <w:rPr>
          <w:rFonts w:ascii="Times New Roman" w:hAnsi="Times New Roman" w:cs="Times New Roman"/>
          <w:lang w:val="en-CA"/>
        </w:rPr>
        <w:br w:type="page"/>
      </w:r>
    </w:p>
    <w:p w:rsidR="001B07C5" w:rsidRPr="00E71942" w:rsidRDefault="001B07C5" w:rsidP="001B07C5">
      <w:pPr>
        <w:spacing w:line="240" w:lineRule="auto"/>
        <w:jc w:val="center"/>
        <w:rPr>
          <w:rFonts w:ascii="Times New Roman" w:hAnsi="Times New Roman" w:cs="Times New Roman"/>
          <w:lang w:val="en-CA"/>
        </w:rPr>
      </w:pPr>
      <w:r w:rsidRPr="00E71942">
        <w:rPr>
          <w:rFonts w:ascii="Times New Roman" w:hAnsi="Times New Roman" w:cs="Times New Roman"/>
          <w:b/>
          <w:lang w:val="en-CA"/>
        </w:rPr>
        <w:lastRenderedPageBreak/>
        <w:t>Supplementa</w:t>
      </w:r>
      <w:r w:rsidR="00044E52">
        <w:rPr>
          <w:rFonts w:ascii="Times New Roman" w:hAnsi="Times New Roman" w:cs="Times New Roman"/>
          <w:b/>
          <w:lang w:val="en-CA"/>
        </w:rPr>
        <w:t>l</w:t>
      </w:r>
      <w:r w:rsidRPr="00E71942">
        <w:rPr>
          <w:rFonts w:ascii="Times New Roman" w:hAnsi="Times New Roman" w:cs="Times New Roman"/>
          <w:b/>
          <w:lang w:val="en-CA"/>
        </w:rPr>
        <w:t xml:space="preserve"> Table 2</w:t>
      </w:r>
      <w:r w:rsidRPr="00E71942">
        <w:rPr>
          <w:rFonts w:ascii="Times New Roman" w:hAnsi="Times New Roman" w:cs="Times New Roman"/>
          <w:lang w:val="en-CA"/>
        </w:rPr>
        <w:t>. Between-group differences in Anthropometrics, Insulin dosage and Safety labs at Baseline and 12 months in the GCD and GFD groups. Values represent means ± SD or percentages.</w:t>
      </w:r>
      <w:r w:rsidR="00793740">
        <w:rPr>
          <w:rFonts w:ascii="Times New Roman" w:hAnsi="Times New Roman" w:cs="Times New Roman"/>
          <w:lang w:val="en-CA"/>
        </w:rPr>
        <w:t xml:space="preserve"> BMI categories are abbreviated as N (Normal weight), </w:t>
      </w:r>
      <w:proofErr w:type="spellStart"/>
      <w:r w:rsidR="00793740">
        <w:rPr>
          <w:rFonts w:ascii="Times New Roman" w:hAnsi="Times New Roman" w:cs="Times New Roman"/>
          <w:lang w:val="en-CA"/>
        </w:rPr>
        <w:t>Ov</w:t>
      </w:r>
      <w:proofErr w:type="spellEnd"/>
      <w:r w:rsidR="00793740">
        <w:rPr>
          <w:rFonts w:ascii="Times New Roman" w:hAnsi="Times New Roman" w:cs="Times New Roman"/>
          <w:lang w:val="en-CA"/>
        </w:rPr>
        <w:t xml:space="preserve"> (Overweight), and Ob (Obese)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433"/>
        <w:gridCol w:w="222"/>
        <w:gridCol w:w="1184"/>
        <w:gridCol w:w="1264"/>
        <w:gridCol w:w="496"/>
        <w:gridCol w:w="222"/>
        <w:gridCol w:w="1184"/>
        <w:gridCol w:w="1184"/>
        <w:gridCol w:w="576"/>
      </w:tblGrid>
      <w:tr w:rsidR="00C0135B" w:rsidRPr="007C2678" w:rsidTr="00CE4DF7">
        <w:trPr>
          <w:trHeight w:val="319"/>
          <w:jc w:val="center"/>
        </w:trPr>
        <w:tc>
          <w:tcPr>
            <w:tcW w:w="0" w:type="auto"/>
            <w:gridSpan w:val="2"/>
            <w:vMerge w:val="restart"/>
            <w:tcBorders>
              <w:left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Baseline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12 Months</w:t>
            </w:r>
          </w:p>
        </w:tc>
      </w:tr>
      <w:tr w:rsidR="00C0135B" w:rsidRPr="007C2678" w:rsidTr="00CE4DF7">
        <w:trPr>
          <w:trHeight w:val="266"/>
          <w:jc w:val="center"/>
        </w:trPr>
        <w:tc>
          <w:tcPr>
            <w:tcW w:w="0" w:type="auto"/>
            <w:gridSpan w:val="2"/>
            <w:vMerge/>
            <w:tcBorders>
              <w:left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GCD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GFD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GCD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GFD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p</w:t>
            </w:r>
          </w:p>
        </w:tc>
      </w:tr>
      <w:tr w:rsidR="00C0135B" w:rsidRPr="007C2678" w:rsidTr="00CE4DF7">
        <w:trPr>
          <w:trHeight w:val="267"/>
          <w:jc w:val="center"/>
        </w:trPr>
        <w:tc>
          <w:tcPr>
            <w:tcW w:w="0" w:type="auto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597113" w:rsidRDefault="00C0135B" w:rsidP="00CE4DF7">
            <w:pPr>
              <w:pStyle w:val="NoSpacing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  <w:r w:rsidRPr="00597113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Anthropometrics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597113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597113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597113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597113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597113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597113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597113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597113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97271A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&lt;19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Height Z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0.63 ±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0.27 ±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0.35 ± 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0.25 ±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0.89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Weight Z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0.80 ± 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0.76 ± 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0.61 ±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0.59 ± 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0.98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BMI Z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76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88 ± 1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66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67 ± 1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99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≥19 years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Height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170.6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171.1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169.6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171.8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0.57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Weight (kg)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80.1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18.8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81.4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79.1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82.4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0.57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BMI (kg/m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27.5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28.0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27.5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27.9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±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0.84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BMI Category [%N|%</w:t>
            </w:r>
            <w:proofErr w:type="spellStart"/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Ov</w:t>
            </w:r>
            <w:proofErr w:type="spellEnd"/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|%Ob]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58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3|16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7|25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37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0|26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0|37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9|31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8|27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0|32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0|32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92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Waist Circumference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85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 ± 21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 ± 16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86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 ± 14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92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 ± 14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26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Hip Circumference (cm)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95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 ± 22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 ± 15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 ± 11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100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 ± 15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50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Waist-to-Hip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91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91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88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91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18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Systolic B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lood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ressure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122 ± 10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122 ± 13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116 ± 11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119 ± 13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62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Diastolic B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lood 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ressure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 ± 6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 ± 8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 ± 7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 ± 9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84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597113" w:rsidRDefault="00C0135B" w:rsidP="00CE4DF7">
            <w:pPr>
              <w:pStyle w:val="NoSpacing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597113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Insulin Dosage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Total Daily Insulin Dose (IU)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51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 ± 21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 ± 26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6 ± 35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56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 ± 29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97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Total Daily Insulin Dose per kg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75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72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78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72 ± 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r w:rsidRPr="00C75E98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62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597113" w:rsidRDefault="00C0135B" w:rsidP="00CE4DF7">
            <w:pPr>
              <w:pStyle w:val="NoSpacing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597113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Safety Labs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Red Blood Cells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82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99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77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01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.12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White Blood Cells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28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33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59 ± 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85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.17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Platelet 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271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09 ± 58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261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15 ± 60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266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10 ± 61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247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96 ± 59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.33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Neutrophils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73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86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82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52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45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Lymphocytes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93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93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04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76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.12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Monocytes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42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40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.7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44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36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.17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Eosinophils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16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12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20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17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.59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Basophils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032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023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036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031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63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Cholesterol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23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04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08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06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.95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Triglycerides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91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29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08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05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.88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HDL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47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39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42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53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37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LDL Calculated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34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00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17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05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.63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Hemoglobin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136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22 ± 14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143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07 ± 15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133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25 ± 19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145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24 ± 13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025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Hematocrit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41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43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40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44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009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Ferritin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58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83 ± 52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96 ± 67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38 ± 59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92 ± 73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.36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00 ± 7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25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33 ± 16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38 ± 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08 ± 9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.36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ALT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09 ± 11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12 ± 24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05 ± 10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18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80 ± 9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28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P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arathyroid Hormone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14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02 ± 15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51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13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41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25-OH Vitamin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87 ± 28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22 ± 16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68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71 ± 31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08 ± 19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86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Calcium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37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41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35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37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50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Phosphorus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37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28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24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36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.52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Magnesium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80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82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78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79 ± 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.55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proofErr w:type="spellStart"/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Microalbumin</w:t>
            </w:r>
            <w:proofErr w:type="spellEnd"/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 xml:space="preserve"> 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53 ± 10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251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88 ± 717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32 ± 20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65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38 ± 250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.3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lbumin-Creatinine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 ± 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50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92 ± 157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23 ± 2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6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49 ± 18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.30</w:t>
            </w:r>
          </w:p>
        </w:tc>
      </w:tr>
      <w:tr w:rsidR="00C0135B" w:rsidRPr="007C2678" w:rsidTr="00CE4DF7">
        <w:trPr>
          <w:trHeight w:hRule="exact" w:val="25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5B" w:rsidRPr="00C75E98" w:rsidRDefault="00C0135B" w:rsidP="00CE4DF7">
            <w:pPr>
              <w:pStyle w:val="NoSpacing"/>
              <w:ind w:left="171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β</w:t>
            </w:r>
            <w:proofErr w:type="spellStart"/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hCG</w:t>
            </w:r>
            <w:proofErr w:type="spellEnd"/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 xml:space="preserve"> (% Positive)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C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135B" w:rsidRPr="00C75E98" w:rsidRDefault="00C0135B" w:rsidP="00CE4DF7">
            <w:pPr>
              <w:pStyle w:val="NoSpacing"/>
              <w:jc w:val="center"/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</w:pP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1</w:t>
            </w:r>
            <w:r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.</w:t>
            </w:r>
            <w:r w:rsidRPr="00C75E98">
              <w:rPr>
                <w:rFonts w:ascii="Times New Roman" w:eastAsia="Times New Roman" w:hAnsi="Times New Roman" w:cs="Times New Roman"/>
                <w:noProof w:val="0"/>
                <w:color w:val="000000" w:themeColor="text1"/>
                <w:sz w:val="16"/>
                <w:szCs w:val="16"/>
                <w:lang w:eastAsia="en-CA"/>
              </w:rPr>
              <w:t>00</w:t>
            </w:r>
          </w:p>
        </w:tc>
      </w:tr>
    </w:tbl>
    <w:p w:rsidR="001B07C5" w:rsidRPr="007C2678" w:rsidRDefault="001B07C5" w:rsidP="001B07C5">
      <w:pPr>
        <w:rPr>
          <w:rFonts w:ascii="Times New Roman" w:hAnsi="Times New Roman" w:cs="Times New Roman"/>
          <w:color w:val="000000" w:themeColor="text1"/>
          <w:lang w:val="en-CA"/>
        </w:rPr>
      </w:pPr>
    </w:p>
    <w:p w:rsidR="001B07C5" w:rsidRPr="007C2678" w:rsidRDefault="001B07C5" w:rsidP="001B07C5">
      <w:pPr>
        <w:spacing w:after="0" w:line="240" w:lineRule="auto"/>
        <w:rPr>
          <w:rFonts w:ascii="Times New Roman" w:hAnsi="Times New Roman" w:cs="Times New Roman"/>
          <w:color w:val="000000" w:themeColor="text1"/>
          <w:lang w:val="en-CA"/>
        </w:rPr>
      </w:pPr>
      <w:r w:rsidRPr="007C2678">
        <w:rPr>
          <w:rFonts w:ascii="Times New Roman" w:hAnsi="Times New Roman" w:cs="Times New Roman"/>
          <w:color w:val="000000" w:themeColor="text1"/>
          <w:lang w:val="en-CA"/>
        </w:rPr>
        <w:br w:type="page"/>
      </w:r>
    </w:p>
    <w:p w:rsidR="001B07C5" w:rsidRPr="007C2678" w:rsidRDefault="001B07C5" w:rsidP="001B07C5">
      <w:pPr>
        <w:jc w:val="center"/>
        <w:rPr>
          <w:rFonts w:ascii="Times New Roman" w:hAnsi="Times New Roman" w:cs="Times New Roman"/>
          <w:lang w:val="en-CA"/>
        </w:rPr>
      </w:pPr>
      <w:r w:rsidRPr="007C2678">
        <w:rPr>
          <w:rFonts w:ascii="Times New Roman" w:hAnsi="Times New Roman" w:cs="Times New Roman"/>
          <w:b/>
          <w:lang w:val="en-CA"/>
        </w:rPr>
        <w:lastRenderedPageBreak/>
        <w:t>Supplementa</w:t>
      </w:r>
      <w:r w:rsidR="00044E52">
        <w:rPr>
          <w:rFonts w:ascii="Times New Roman" w:hAnsi="Times New Roman" w:cs="Times New Roman"/>
          <w:b/>
          <w:lang w:val="en-CA"/>
        </w:rPr>
        <w:t>l</w:t>
      </w:r>
      <w:r w:rsidRPr="007C2678">
        <w:rPr>
          <w:rFonts w:ascii="Times New Roman" w:hAnsi="Times New Roman" w:cs="Times New Roman"/>
          <w:b/>
          <w:lang w:val="en-CA"/>
        </w:rPr>
        <w:t xml:space="preserve"> Table AE1</w:t>
      </w:r>
      <w:r>
        <w:rPr>
          <w:rFonts w:ascii="Times New Roman" w:hAnsi="Times New Roman" w:cs="Times New Roman"/>
          <w:lang w:val="en-CA"/>
        </w:rPr>
        <w:t>.</w:t>
      </w:r>
      <w:r w:rsidRPr="007C2678">
        <w:rPr>
          <w:rFonts w:ascii="Times New Roman" w:hAnsi="Times New Roman" w:cs="Times New Roman"/>
          <w:lang w:val="en-CA"/>
        </w:rPr>
        <w:t xml:space="preserve"> Number of Participants who reported at least 1 Adverse Event over the course of the CD-DIET trial</w:t>
      </w:r>
      <w:r>
        <w:rPr>
          <w:rFonts w:ascii="Times New Roman" w:hAnsi="Times New Roman" w:cs="Times New Roman"/>
          <w:lang w:val="en-CA"/>
        </w:rPr>
        <w:t>.</w:t>
      </w:r>
      <w:r w:rsidRPr="007C2678">
        <w:rPr>
          <w:rFonts w:ascii="Times New Roman" w:hAnsi="Times New Roman" w:cs="Times New Roman"/>
          <w:lang w:val="en-CA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831"/>
        <w:gridCol w:w="1135"/>
        <w:gridCol w:w="919"/>
        <w:gridCol w:w="868"/>
        <w:gridCol w:w="1032"/>
      </w:tblGrid>
      <w:tr w:rsidR="00C0135B" w:rsidRPr="00B27AC8" w:rsidTr="00CE4DF7">
        <w:trPr>
          <w:trHeight w:val="370"/>
          <w:jc w:val="center"/>
        </w:trPr>
        <w:tc>
          <w:tcPr>
            <w:tcW w:w="2989" w:type="dxa"/>
            <w:vMerge w:val="restart"/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Preferred Term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Gluten-Containing</w:t>
            </w:r>
          </w:p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Diet (n=24)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Gluten-Free</w:t>
            </w:r>
          </w:p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Diet (n=27)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p</w:t>
            </w:r>
          </w:p>
        </w:tc>
      </w:tr>
      <w:tr w:rsidR="00C0135B" w:rsidRPr="00B27AC8" w:rsidTr="00CE4DF7">
        <w:trPr>
          <w:trHeight w:val="100"/>
          <w:jc w:val="center"/>
        </w:trPr>
        <w:tc>
          <w:tcPr>
            <w:tcW w:w="29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135B" w:rsidRPr="00B27AC8" w:rsidRDefault="00C0135B" w:rsidP="00CE4DF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27AC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27A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27AC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B27AC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03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135B" w:rsidRPr="00B27AC8" w:rsidTr="00CE4DF7">
        <w:trPr>
          <w:trHeight w:val="238"/>
          <w:jc w:val="center"/>
        </w:trPr>
        <w:tc>
          <w:tcPr>
            <w:tcW w:w="2989" w:type="dxa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pStyle w:val="NoSpacing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Any adverse event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  <w:tcBorders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919" w:type="dxa"/>
            <w:tcBorders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1032" w:type="dxa"/>
            <w:tcBorders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C8">
              <w:rPr>
                <w:rFonts w:ascii="Times New Roman" w:hAnsi="Times New Roman" w:cs="Times New Roman"/>
                <w:color w:val="000000" w:themeColor="text1"/>
              </w:rPr>
              <w:t>0.714</w:t>
            </w:r>
          </w:p>
        </w:tc>
      </w:tr>
      <w:tr w:rsidR="00C0135B" w:rsidRPr="00B27AC8" w:rsidTr="00CE4DF7">
        <w:trPr>
          <w:trHeight w:val="238"/>
          <w:jc w:val="center"/>
        </w:trPr>
        <w:tc>
          <w:tcPr>
            <w:tcW w:w="2989" w:type="dxa"/>
            <w:tcBorders>
              <w:top w:val="nil"/>
              <w:bottom w:val="nil"/>
            </w:tcBorders>
            <w:shd w:val="clear" w:color="auto" w:fill="auto"/>
          </w:tcPr>
          <w:p w:rsidR="00C0135B" w:rsidRPr="00CE3D0A" w:rsidRDefault="00C0135B" w:rsidP="00CE4DF7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  <w:r w:rsidRPr="00CE3D0A">
              <w:rPr>
                <w:rFonts w:ascii="Times New Roman" w:hAnsi="Times New Roman" w:cs="Times New Roman"/>
              </w:rPr>
              <w:t>Nasopharyngitis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C8">
              <w:rPr>
                <w:rFonts w:ascii="Times New Roman" w:hAnsi="Times New Roman" w:cs="Times New Roman"/>
                <w:color w:val="000000" w:themeColor="text1"/>
              </w:rPr>
              <w:t>0.732</w:t>
            </w:r>
          </w:p>
        </w:tc>
      </w:tr>
      <w:tr w:rsidR="00C0135B" w:rsidRPr="00B27AC8" w:rsidTr="00CE4DF7">
        <w:trPr>
          <w:trHeight w:val="238"/>
          <w:jc w:val="center"/>
        </w:trPr>
        <w:tc>
          <w:tcPr>
            <w:tcW w:w="2989" w:type="dxa"/>
            <w:tcBorders>
              <w:top w:val="nil"/>
              <w:bottom w:val="nil"/>
            </w:tcBorders>
            <w:shd w:val="clear" w:color="auto" w:fill="auto"/>
          </w:tcPr>
          <w:p w:rsidR="00C0135B" w:rsidRPr="00CE3D0A" w:rsidRDefault="00C0135B" w:rsidP="00CE4DF7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  <w:r w:rsidRPr="00CE3D0A">
              <w:rPr>
                <w:rFonts w:ascii="Times New Roman" w:hAnsi="Times New Roman" w:cs="Times New Roman"/>
              </w:rPr>
              <w:t>Hypoglycaemia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C8">
              <w:rPr>
                <w:rFonts w:ascii="Times New Roman" w:hAnsi="Times New Roman" w:cs="Times New Roman"/>
                <w:color w:val="000000" w:themeColor="text1"/>
              </w:rPr>
              <w:t>0.097</w:t>
            </w:r>
          </w:p>
        </w:tc>
      </w:tr>
      <w:tr w:rsidR="00C0135B" w:rsidRPr="00B27AC8" w:rsidTr="00CE4DF7">
        <w:trPr>
          <w:trHeight w:val="238"/>
          <w:jc w:val="center"/>
        </w:trPr>
        <w:tc>
          <w:tcPr>
            <w:tcW w:w="2989" w:type="dxa"/>
            <w:tcBorders>
              <w:top w:val="nil"/>
              <w:bottom w:val="nil"/>
            </w:tcBorders>
            <w:shd w:val="clear" w:color="auto" w:fill="auto"/>
          </w:tcPr>
          <w:p w:rsidR="00C0135B" w:rsidRPr="00CE3D0A" w:rsidRDefault="00C0135B" w:rsidP="00CE4DF7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  <w:r w:rsidRPr="00CE3D0A">
              <w:rPr>
                <w:rFonts w:ascii="Times New Roman" w:hAnsi="Times New Roman" w:cs="Times New Roman"/>
              </w:rPr>
              <w:t>Vitamin D Deficiency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C8">
              <w:rPr>
                <w:rFonts w:ascii="Times New Roman" w:hAnsi="Times New Roman" w:cs="Times New Roman"/>
                <w:color w:val="000000" w:themeColor="text1"/>
              </w:rPr>
              <w:t>0.612</w:t>
            </w:r>
          </w:p>
        </w:tc>
      </w:tr>
      <w:tr w:rsidR="00C0135B" w:rsidRPr="00B27AC8" w:rsidTr="00CE4DF7">
        <w:trPr>
          <w:trHeight w:val="238"/>
          <w:jc w:val="center"/>
        </w:trPr>
        <w:tc>
          <w:tcPr>
            <w:tcW w:w="2989" w:type="dxa"/>
            <w:tcBorders>
              <w:top w:val="nil"/>
              <w:bottom w:val="nil"/>
            </w:tcBorders>
            <w:shd w:val="clear" w:color="auto" w:fill="auto"/>
          </w:tcPr>
          <w:p w:rsidR="00C0135B" w:rsidRPr="00CE3D0A" w:rsidRDefault="00C0135B" w:rsidP="00CE4DF7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  <w:r w:rsidRPr="00CE3D0A">
              <w:rPr>
                <w:rFonts w:ascii="Times New Roman" w:hAnsi="Times New Roman" w:cs="Times New Roman"/>
              </w:rPr>
              <w:t>Diarrhea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C8">
              <w:rPr>
                <w:rFonts w:ascii="Times New Roman" w:hAnsi="Times New Roman" w:cs="Times New Roman"/>
                <w:color w:val="000000" w:themeColor="text1"/>
              </w:rPr>
              <w:t>0.596</w:t>
            </w:r>
          </w:p>
        </w:tc>
      </w:tr>
      <w:tr w:rsidR="00C0135B" w:rsidRPr="00B27AC8" w:rsidTr="00CE4DF7">
        <w:trPr>
          <w:trHeight w:val="238"/>
          <w:jc w:val="center"/>
        </w:trPr>
        <w:tc>
          <w:tcPr>
            <w:tcW w:w="2989" w:type="dxa"/>
            <w:tcBorders>
              <w:top w:val="nil"/>
              <w:bottom w:val="nil"/>
            </w:tcBorders>
            <w:shd w:val="clear" w:color="auto" w:fill="auto"/>
          </w:tcPr>
          <w:p w:rsidR="00C0135B" w:rsidRPr="00CE3D0A" w:rsidRDefault="00C0135B" w:rsidP="00CE4DF7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  <w:r w:rsidRPr="00CE3D0A">
              <w:rPr>
                <w:rFonts w:ascii="Times New Roman" w:hAnsi="Times New Roman" w:cs="Times New Roman"/>
              </w:rPr>
              <w:t>Streptococcal Pharyngitis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C8">
              <w:rPr>
                <w:rFonts w:ascii="Times New Roman" w:hAnsi="Times New Roman" w:cs="Times New Roman"/>
                <w:color w:val="000000" w:themeColor="text1"/>
              </w:rPr>
              <w:t>1.00</w:t>
            </w:r>
          </w:p>
        </w:tc>
      </w:tr>
      <w:tr w:rsidR="00C0135B" w:rsidRPr="00B27AC8" w:rsidTr="00CE4DF7">
        <w:trPr>
          <w:trHeight w:val="238"/>
          <w:jc w:val="center"/>
        </w:trPr>
        <w:tc>
          <w:tcPr>
            <w:tcW w:w="2989" w:type="dxa"/>
            <w:tcBorders>
              <w:top w:val="nil"/>
              <w:bottom w:val="nil"/>
            </w:tcBorders>
            <w:shd w:val="clear" w:color="auto" w:fill="auto"/>
          </w:tcPr>
          <w:p w:rsidR="00C0135B" w:rsidRPr="00CE3D0A" w:rsidRDefault="00C0135B" w:rsidP="00CE4DF7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  <w:r w:rsidRPr="00CE3D0A">
              <w:rPr>
                <w:rFonts w:ascii="Times New Roman" w:hAnsi="Times New Roman" w:cs="Times New Roman"/>
              </w:rPr>
              <w:t>Low Serum Ferritin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C8">
              <w:rPr>
                <w:rFonts w:ascii="Times New Roman" w:hAnsi="Times New Roman" w:cs="Times New Roman"/>
                <w:color w:val="000000" w:themeColor="text1"/>
              </w:rPr>
              <w:t>1.00</w:t>
            </w:r>
          </w:p>
        </w:tc>
      </w:tr>
      <w:tr w:rsidR="00C0135B" w:rsidRPr="00B27AC8" w:rsidTr="00CE4DF7">
        <w:trPr>
          <w:trHeight w:val="238"/>
          <w:jc w:val="center"/>
        </w:trPr>
        <w:tc>
          <w:tcPr>
            <w:tcW w:w="2989" w:type="dxa"/>
            <w:tcBorders>
              <w:top w:val="nil"/>
              <w:bottom w:val="nil"/>
            </w:tcBorders>
            <w:shd w:val="clear" w:color="auto" w:fill="auto"/>
          </w:tcPr>
          <w:p w:rsidR="00C0135B" w:rsidRPr="00CE3D0A" w:rsidRDefault="00C0135B" w:rsidP="00CE4DF7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  <w:r w:rsidRPr="00CE3D0A">
              <w:rPr>
                <w:rFonts w:ascii="Times New Roman" w:hAnsi="Times New Roman" w:cs="Times New Roman"/>
              </w:rPr>
              <w:t>Myalgia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9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C8">
              <w:rPr>
                <w:rFonts w:ascii="Times New Roman" w:hAnsi="Times New Roman" w:cs="Times New Roman"/>
                <w:color w:val="000000" w:themeColor="text1"/>
              </w:rPr>
              <w:t>0.217</w:t>
            </w:r>
          </w:p>
        </w:tc>
      </w:tr>
      <w:tr w:rsidR="00C0135B" w:rsidRPr="00B27AC8" w:rsidTr="00CE4DF7">
        <w:trPr>
          <w:trHeight w:val="65"/>
          <w:jc w:val="center"/>
        </w:trPr>
        <w:tc>
          <w:tcPr>
            <w:tcW w:w="2989" w:type="dxa"/>
            <w:tcBorders>
              <w:top w:val="nil"/>
            </w:tcBorders>
            <w:shd w:val="clear" w:color="auto" w:fill="auto"/>
          </w:tcPr>
          <w:p w:rsidR="00C0135B" w:rsidRPr="00CE3D0A" w:rsidRDefault="00C0135B" w:rsidP="00CE4DF7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  <w:r w:rsidRPr="00CE3D0A">
              <w:rPr>
                <w:rFonts w:ascii="Times New Roman" w:hAnsi="Times New Roman" w:cs="Times New Roman"/>
              </w:rPr>
              <w:t>Radius Fracture*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9" w:type="dxa"/>
            <w:tcBorders>
              <w:top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7AC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0135B" w:rsidRPr="00B27AC8" w:rsidTr="00CE4DF7">
        <w:trPr>
          <w:trHeight w:val="238"/>
          <w:jc w:val="center"/>
        </w:trPr>
        <w:tc>
          <w:tcPr>
            <w:tcW w:w="2989" w:type="dxa"/>
            <w:shd w:val="clear" w:color="auto" w:fill="auto"/>
          </w:tcPr>
          <w:p w:rsidR="00C0135B" w:rsidRPr="00B27AC8" w:rsidRDefault="00C0135B" w:rsidP="00CE4DF7">
            <w:pPr>
              <w:pStyle w:val="NoSpacing"/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4"/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B27AC8">
              <w:rPr>
                <w:rFonts w:ascii="Times New Roman" w:hAnsi="Times New Roman" w:cs="Times New Roman"/>
              </w:rPr>
              <w:t>ALL OTHER AEs WERE REPORTED ONCE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0135B" w:rsidRPr="00B27AC8" w:rsidRDefault="00C0135B" w:rsidP="00CE4DF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7C5" w:rsidRPr="007C2678" w:rsidRDefault="001B07C5" w:rsidP="001B07C5">
      <w:pPr>
        <w:pStyle w:val="NoSpacing"/>
        <w:jc w:val="center"/>
        <w:rPr>
          <w:rFonts w:ascii="Times New Roman" w:hAnsi="Times New Roman" w:cs="Times New Roman"/>
          <w:noProof w:val="0"/>
          <w:sz w:val="20"/>
        </w:rPr>
      </w:pPr>
      <w:r w:rsidRPr="007C2678">
        <w:rPr>
          <w:rFonts w:ascii="Times New Roman" w:hAnsi="Times New Roman" w:cs="Times New Roman"/>
          <w:noProof w:val="0"/>
          <w:sz w:val="20"/>
        </w:rPr>
        <w:t>*Serious Adverse Event</w:t>
      </w:r>
    </w:p>
    <w:p w:rsidR="001B07C5" w:rsidRPr="007C2678" w:rsidRDefault="001B07C5" w:rsidP="001B07C5">
      <w:pPr>
        <w:rPr>
          <w:rFonts w:ascii="Times New Roman" w:hAnsi="Times New Roman" w:cs="Times New Roman"/>
          <w:lang w:val="en-CA"/>
        </w:rPr>
      </w:pPr>
    </w:p>
    <w:p w:rsidR="001B07C5" w:rsidRPr="007C2678" w:rsidRDefault="001B07C5" w:rsidP="001B07C5">
      <w:pPr>
        <w:rPr>
          <w:rFonts w:ascii="Times New Roman" w:hAnsi="Times New Roman" w:cs="Times New Roman"/>
          <w:lang w:val="en-CA"/>
        </w:rPr>
      </w:pPr>
      <w:r w:rsidRPr="007C2678">
        <w:rPr>
          <w:rFonts w:ascii="Times New Roman" w:hAnsi="Times New Roman" w:cs="Times New Roman"/>
          <w:lang w:val="en-CA"/>
        </w:rPr>
        <w:t xml:space="preserve">  </w:t>
      </w:r>
    </w:p>
    <w:p w:rsidR="001B07C5" w:rsidRPr="007C2678" w:rsidRDefault="001B07C5" w:rsidP="001B07C5">
      <w:pPr>
        <w:rPr>
          <w:rFonts w:ascii="Times New Roman" w:hAnsi="Times New Roman" w:cs="Times New Roman"/>
          <w:lang w:val="en-CA"/>
        </w:rPr>
      </w:pPr>
    </w:p>
    <w:p w:rsidR="001B07C5" w:rsidRPr="007C2678" w:rsidRDefault="001B07C5" w:rsidP="001B07C5">
      <w:pPr>
        <w:spacing w:after="0" w:line="240" w:lineRule="auto"/>
        <w:rPr>
          <w:rFonts w:ascii="Times New Roman" w:hAnsi="Times New Roman" w:cs="Times New Roman"/>
          <w:b/>
          <w:lang w:val="en-CA"/>
        </w:rPr>
      </w:pPr>
      <w:r w:rsidRPr="007C2678">
        <w:rPr>
          <w:rFonts w:ascii="Times New Roman" w:hAnsi="Times New Roman" w:cs="Times New Roman"/>
          <w:b/>
          <w:lang w:val="en-CA"/>
        </w:rPr>
        <w:br w:type="page"/>
      </w:r>
    </w:p>
    <w:p w:rsidR="001B07C5" w:rsidRPr="007C2678" w:rsidRDefault="001B07C5" w:rsidP="001B07C5">
      <w:pPr>
        <w:jc w:val="center"/>
        <w:outlineLvl w:val="0"/>
        <w:rPr>
          <w:rFonts w:ascii="Times New Roman" w:hAnsi="Times New Roman" w:cs="Times New Roman"/>
          <w:lang w:val="en-CA"/>
        </w:rPr>
      </w:pPr>
      <w:r w:rsidRPr="007C2678">
        <w:rPr>
          <w:rFonts w:ascii="Times New Roman" w:hAnsi="Times New Roman" w:cs="Times New Roman"/>
          <w:b/>
          <w:lang w:val="en-CA"/>
        </w:rPr>
        <w:lastRenderedPageBreak/>
        <w:t>Supplementa</w:t>
      </w:r>
      <w:r w:rsidR="00044E52">
        <w:rPr>
          <w:rFonts w:ascii="Times New Roman" w:hAnsi="Times New Roman" w:cs="Times New Roman"/>
          <w:b/>
          <w:lang w:val="en-CA"/>
        </w:rPr>
        <w:t>l</w:t>
      </w:r>
      <w:r w:rsidRPr="007C2678">
        <w:rPr>
          <w:rFonts w:ascii="Times New Roman" w:hAnsi="Times New Roman" w:cs="Times New Roman"/>
          <w:b/>
          <w:lang w:val="en-CA"/>
        </w:rPr>
        <w:t xml:space="preserve"> Table AE2</w:t>
      </w:r>
      <w:r>
        <w:rPr>
          <w:rFonts w:ascii="Times New Roman" w:hAnsi="Times New Roman" w:cs="Times New Roman"/>
          <w:lang w:val="en-CA"/>
        </w:rPr>
        <w:t>.</w:t>
      </w:r>
      <w:r w:rsidRPr="007C2678">
        <w:rPr>
          <w:rFonts w:ascii="Times New Roman" w:hAnsi="Times New Roman" w:cs="Times New Roman"/>
          <w:lang w:val="en-CA"/>
        </w:rPr>
        <w:t xml:space="preserve"> Number of Adverse Events Reported by each TREATMENT Arm by System Organ Class</w:t>
      </w:r>
      <w:r w:rsidR="00B27AC8">
        <w:rPr>
          <w:rFonts w:ascii="Times New Roman" w:hAnsi="Times New Roman" w:cs="Times New Roman"/>
          <w:lang w:val="en-CA"/>
        </w:rPr>
        <w:t>.</w:t>
      </w:r>
      <w:r w:rsidRPr="007C2678">
        <w:rPr>
          <w:rFonts w:ascii="Times New Roman" w:hAnsi="Times New Roman" w:cs="Times New Roman"/>
          <w:lang w:val="en-CA"/>
        </w:rPr>
        <w:t xml:space="preserve"> *Denotes Serious Adverse Event</w:t>
      </w:r>
      <w:r>
        <w:rPr>
          <w:rFonts w:ascii="Times New Roman" w:hAnsi="Times New Roman" w:cs="Times New Roman"/>
          <w:lang w:val="en-CA"/>
        </w:rPr>
        <w:t>.</w:t>
      </w:r>
    </w:p>
    <w:p w:rsidR="00441AE7" w:rsidRDefault="00441AE7"/>
    <w:tbl>
      <w:tblPr>
        <w:tblW w:w="830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261"/>
        <w:gridCol w:w="827"/>
        <w:gridCol w:w="799"/>
        <w:gridCol w:w="261"/>
        <w:gridCol w:w="1086"/>
      </w:tblGrid>
      <w:tr w:rsidR="00C0135B" w:rsidRPr="00B27AC8" w:rsidTr="00CE4DF7">
        <w:trPr>
          <w:trHeight w:val="215"/>
          <w:jc w:val="center"/>
        </w:trPr>
        <w:tc>
          <w:tcPr>
            <w:tcW w:w="0" w:type="auto"/>
            <w:shd w:val="clear" w:color="auto" w:fill="auto"/>
            <w:noWrap/>
            <w:hideMark/>
          </w:tcPr>
          <w:p w:rsidR="00C0135B" w:rsidRPr="00CE3D0A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System Organ Class</w:t>
            </w:r>
          </w:p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Preferred Term</w:t>
            </w:r>
          </w:p>
        </w:tc>
        <w:tc>
          <w:tcPr>
            <w:tcW w:w="0" w:type="auto"/>
            <w:tcBorders>
              <w:bottom w:val="nil"/>
            </w:tcBorders>
          </w:tcPr>
          <w:p w:rsidR="00C0135B" w:rsidRPr="00CE3D0A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135B" w:rsidRPr="00CE3D0A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GCD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0135B" w:rsidRPr="00CE3D0A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GFD</w:t>
            </w:r>
          </w:p>
        </w:tc>
        <w:tc>
          <w:tcPr>
            <w:tcW w:w="0" w:type="auto"/>
            <w:tcBorders>
              <w:bottom w:val="nil"/>
            </w:tcBorders>
          </w:tcPr>
          <w:p w:rsidR="00C0135B" w:rsidRPr="00CE3D0A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0135B" w:rsidRPr="00CE3D0A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Overall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shd w:val="clear" w:color="auto" w:fill="auto"/>
            <w:noWrap/>
          </w:tcPr>
          <w:p w:rsidR="00C0135B" w:rsidRPr="00B27AC8" w:rsidRDefault="00C0135B" w:rsidP="00CE4DF7">
            <w:pPr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All Adverse Events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31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57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Infections and Infestations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21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proofErr w:type="spellStart"/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Nasopharyngitis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13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Pharyngitis Streptococcal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Gastroenteritis Viral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Vaginal Yeast Infection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Sinusitis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Flu Symptoms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Skin Infection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Nail Infection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Gastrointestinal System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10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Diarrhea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5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Vomiting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Tooth Pain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Impacted Wisdom Tooth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Food Poisoning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Gingival Recession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Musculoskeletal/Connective Tissue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8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Myalgia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Arthralgia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Bursitis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Carpal Tunnel Syndrome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Leg Cramps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Radius Fracture*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Rib Fracture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Metabolism/Nutrition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7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Vitamin D Deficiency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4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Hypoglycaemia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3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Respiratory/Thoracic/Mediastinal System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4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Cough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Sore Throat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Viral Upper Respiratory Tract Infection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Chest Cold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Investigations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3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Serum Ferritin Decreased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2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Blood Calcium Decreased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Injury/Poison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Adductor Strain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Nervous System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Sleep Apnea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ind w:left="176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Renal/Urinary System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b/>
                <w:color w:val="000000"/>
                <w:lang w:val="en-CA"/>
              </w:rPr>
              <w:t>1</w:t>
            </w:r>
          </w:p>
        </w:tc>
      </w:tr>
      <w:tr w:rsidR="00C0135B" w:rsidRPr="00B27AC8" w:rsidTr="00CE4DF7">
        <w:trPr>
          <w:trHeight w:hRule="exact" w:val="266"/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CE3D0A" w:rsidRDefault="00C0135B" w:rsidP="00CE4DF7">
            <w:pPr>
              <w:ind w:left="459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CE3D0A">
              <w:rPr>
                <w:rFonts w:ascii="Times New Roman" w:eastAsia="Times New Roman" w:hAnsi="Times New Roman"/>
                <w:color w:val="000000"/>
                <w:lang w:val="en-CA"/>
              </w:rPr>
              <w:t>Urinary Tract Infection</w:t>
            </w:r>
          </w:p>
        </w:tc>
        <w:tc>
          <w:tcPr>
            <w:tcW w:w="0" w:type="auto"/>
            <w:tcBorders>
              <w:top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C0135B" w:rsidRPr="00B27AC8" w:rsidRDefault="00C0135B" w:rsidP="00CE4DF7">
            <w:pPr>
              <w:jc w:val="center"/>
              <w:rPr>
                <w:rFonts w:ascii="Times New Roman" w:eastAsia="Times New Roman" w:hAnsi="Times New Roman"/>
                <w:color w:val="000000"/>
                <w:lang w:val="en-CA"/>
              </w:rPr>
            </w:pPr>
            <w:r w:rsidRPr="00B27AC8">
              <w:rPr>
                <w:rFonts w:ascii="Times New Roman" w:eastAsia="Times New Roman" w:hAnsi="Times New Roman"/>
                <w:color w:val="000000"/>
                <w:lang w:val="en-CA"/>
              </w:rPr>
              <w:t>1</w:t>
            </w:r>
          </w:p>
        </w:tc>
      </w:tr>
    </w:tbl>
    <w:p w:rsidR="00C0135B" w:rsidRDefault="00C0135B">
      <w:pPr>
        <w:sectPr w:rsidR="00C0135B" w:rsidSect="00C26D8A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044E52" w:rsidRPr="00044E52" w:rsidRDefault="00597113" w:rsidP="00044E52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Supplemental Figure</w:t>
      </w:r>
      <w:r w:rsidR="00044E52" w:rsidRPr="00044E52">
        <w:rPr>
          <w:rFonts w:ascii="Times New Roman" w:hAnsi="Times New Roman" w:cs="Times New Roman"/>
          <w:b/>
          <w:sz w:val="24"/>
          <w:u w:val="single"/>
        </w:rPr>
        <w:t>s</w:t>
      </w:r>
    </w:p>
    <w:p w:rsidR="00044E52" w:rsidRDefault="00044E52">
      <w:pPr>
        <w:rPr>
          <w:b/>
        </w:rPr>
      </w:pPr>
    </w:p>
    <w:p w:rsidR="00597113" w:rsidRDefault="00597113" w:rsidP="00597113">
      <w:pPr>
        <w:jc w:val="center"/>
        <w:rPr>
          <w:b/>
        </w:rPr>
      </w:pPr>
      <w:r>
        <w:rPr>
          <w:b/>
          <w:noProof/>
          <w:lang w:val="en-CA" w:eastAsia="en-CA"/>
        </w:rPr>
        <w:drawing>
          <wp:inline distT="0" distB="0" distL="0" distR="0">
            <wp:extent cx="4927010" cy="779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ure 1 - CD-DIET CONSORT Dia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373" cy="779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52" w:rsidRPr="008A7BA8" w:rsidRDefault="00044E52" w:rsidP="00597113">
      <w:pPr>
        <w:pStyle w:val="NoSpacing"/>
        <w:jc w:val="center"/>
        <w:outlineLvl w:val="0"/>
        <w:rPr>
          <w:rFonts w:ascii="Times New Roman" w:hAnsi="Times New Roman" w:cs="Times New Roman"/>
          <w:noProof w:val="0"/>
          <w:sz w:val="20"/>
          <w:lang w:val="en-US"/>
        </w:rPr>
      </w:pPr>
      <w:r w:rsidRPr="008A7BA8">
        <w:rPr>
          <w:rFonts w:ascii="Times New Roman" w:hAnsi="Times New Roman" w:cs="Times New Roman"/>
          <w:b/>
          <w:noProof w:val="0"/>
          <w:lang w:val="en-US"/>
        </w:rPr>
        <w:t>Supplementa</w:t>
      </w:r>
      <w:r>
        <w:rPr>
          <w:rFonts w:ascii="Times New Roman" w:hAnsi="Times New Roman" w:cs="Times New Roman"/>
          <w:b/>
          <w:noProof w:val="0"/>
          <w:lang w:val="en-US"/>
        </w:rPr>
        <w:t>l</w:t>
      </w:r>
      <w:r w:rsidRPr="008A7BA8">
        <w:rPr>
          <w:rFonts w:ascii="Times New Roman" w:hAnsi="Times New Roman" w:cs="Times New Roman"/>
          <w:b/>
          <w:noProof w:val="0"/>
          <w:lang w:val="en-US"/>
        </w:rPr>
        <w:t xml:space="preserve"> Figure 1.</w:t>
      </w:r>
      <w:r w:rsidRPr="008A7BA8">
        <w:rPr>
          <w:rFonts w:ascii="Times New Roman" w:hAnsi="Times New Roman" w:cs="Times New Roman"/>
          <w:noProof w:val="0"/>
          <w:lang w:val="en-US"/>
        </w:rPr>
        <w:t xml:space="preserve"> CONSORT diagram for CD-DIET study</w:t>
      </w:r>
    </w:p>
    <w:p w:rsidR="00044E52" w:rsidRDefault="00044E52" w:rsidP="00044E52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E4DF7" w:rsidRDefault="00CE4DF7" w:rsidP="00044E52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E4DF7" w:rsidRDefault="00CE4DF7" w:rsidP="00044E52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CE4DF7" w:rsidRDefault="00CE4DF7" w:rsidP="009C54F4">
      <w:pPr>
        <w:pStyle w:val="NoSpacing"/>
        <w:jc w:val="center"/>
      </w:pPr>
      <w:r>
        <w:rPr>
          <w:lang w:eastAsia="en-CA"/>
        </w:rPr>
        <w:drawing>
          <wp:inline distT="0" distB="0" distL="0" distR="0">
            <wp:extent cx="6227077" cy="2429261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l Figure 2 - Change in Height, Weight and BMI Z Scores among Pediatric Participan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077" cy="24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DF7" w:rsidRPr="008A7BA8" w:rsidRDefault="00CE4DF7" w:rsidP="00CE4DF7">
      <w:pPr>
        <w:pStyle w:val="NoSpacing"/>
      </w:pPr>
    </w:p>
    <w:p w:rsidR="009D49DF" w:rsidRDefault="00CE4DF7" w:rsidP="00CE4DF7">
      <w:pPr>
        <w:jc w:val="center"/>
        <w:rPr>
          <w:rFonts w:ascii="Times New Roman" w:hAnsi="Times New Roman" w:cs="Times New Roman"/>
        </w:rPr>
      </w:pPr>
      <w:r w:rsidRPr="008A7BA8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l</w:t>
      </w:r>
      <w:r w:rsidRPr="008A7BA8">
        <w:rPr>
          <w:rFonts w:ascii="Times New Roman" w:hAnsi="Times New Roman" w:cs="Times New Roman"/>
          <w:b/>
        </w:rPr>
        <w:t xml:space="preserve"> Figure </w:t>
      </w:r>
      <w:r>
        <w:rPr>
          <w:rFonts w:ascii="Times New Roman" w:hAnsi="Times New Roman" w:cs="Times New Roman"/>
          <w:b/>
        </w:rPr>
        <w:t>2</w:t>
      </w:r>
      <w:r w:rsidRPr="008A7BA8">
        <w:rPr>
          <w:rFonts w:ascii="Times New Roman" w:hAnsi="Times New Roman" w:cs="Times New Roman"/>
          <w:b/>
        </w:rPr>
        <w:t>.</w:t>
      </w:r>
      <w:r w:rsidRPr="008A7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Change in Height, Weight and BMI Z Scores relative to Baseline </w:t>
      </w:r>
      <w:r w:rsidR="009C54F4">
        <w:rPr>
          <w:rFonts w:ascii="Times New Roman" w:hAnsi="Times New Roman" w:cs="Times New Roman"/>
        </w:rPr>
        <w:t xml:space="preserve">± 95%CI </w:t>
      </w:r>
      <w:r>
        <w:rPr>
          <w:rFonts w:ascii="Times New Roman" w:hAnsi="Times New Roman" w:cs="Times New Roman"/>
        </w:rPr>
        <w:t>among pediatric participants (&lt;19 years</w:t>
      </w:r>
      <w:r w:rsidR="004418F0">
        <w:rPr>
          <w:rFonts w:ascii="Times New Roman" w:hAnsi="Times New Roman" w:cs="Times New Roman"/>
        </w:rPr>
        <w:t>, n=16</w:t>
      </w:r>
      <w:r>
        <w:rPr>
          <w:rFonts w:ascii="Times New Roman" w:hAnsi="Times New Roman" w:cs="Times New Roman"/>
        </w:rPr>
        <w:t xml:space="preserve">) in CD-DIET. Data for participants randomized to the GCD </w:t>
      </w:r>
      <w:r w:rsidR="004418F0">
        <w:rPr>
          <w:rFonts w:ascii="Times New Roman" w:hAnsi="Times New Roman" w:cs="Times New Roman"/>
        </w:rPr>
        <w:t xml:space="preserve">(n=8) </w:t>
      </w:r>
      <w:r>
        <w:rPr>
          <w:rFonts w:ascii="Times New Roman" w:hAnsi="Times New Roman" w:cs="Times New Roman"/>
        </w:rPr>
        <w:t>are summarized in grey (</w:t>
      </w:r>
      <w:r w:rsidRPr="00CE4DF7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</w:rPr>
        <w:t>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</w:rPr>
        <w:t>, while those in the GFD arm</w:t>
      </w:r>
      <w:r w:rsidR="004418F0">
        <w:rPr>
          <w:rFonts w:ascii="Times New Roman" w:hAnsi="Times New Roman" w:cs="Times New Roman"/>
        </w:rPr>
        <w:t xml:space="preserve"> (n=8)</w:t>
      </w:r>
      <w:r>
        <w:rPr>
          <w:rFonts w:ascii="Times New Roman" w:hAnsi="Times New Roman" w:cs="Times New Roman"/>
        </w:rPr>
        <w:t xml:space="preserve"> are presented in black (</w:t>
      </w:r>
      <w:r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⬧</w:t>
      </w:r>
      <w:r>
        <w:rPr>
          <w:rFonts w:ascii="Times New Roman" w:hAnsi="Times New Roman" w:cs="Times New Roman"/>
        </w:rPr>
        <w:t>).</w:t>
      </w:r>
    </w:p>
    <w:p w:rsidR="009C54F4" w:rsidRDefault="009C54F4" w:rsidP="00CE4DF7">
      <w:pPr>
        <w:jc w:val="center"/>
        <w:rPr>
          <w:rFonts w:ascii="Times New Roman" w:hAnsi="Times New Roman" w:cs="Times New Roman"/>
        </w:rPr>
      </w:pPr>
    </w:p>
    <w:p w:rsidR="007D09D7" w:rsidRDefault="007D09D7" w:rsidP="00CE4DF7">
      <w:pPr>
        <w:jc w:val="center"/>
        <w:rPr>
          <w:rFonts w:ascii="Times New Roman" w:hAnsi="Times New Roman" w:cs="Times New Roman"/>
        </w:rPr>
      </w:pPr>
    </w:p>
    <w:p w:rsidR="009C54F4" w:rsidRDefault="007D09D7" w:rsidP="00CE4D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CA" w:eastAsia="en-CA"/>
        </w:rPr>
        <w:drawing>
          <wp:inline distT="0" distB="0" distL="0" distR="0">
            <wp:extent cx="4212345" cy="242926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lemental Figure 3 - Change in Weight and BMI among Adult Participan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345" cy="24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9D7" w:rsidRDefault="007D09D7" w:rsidP="007D09D7">
      <w:pPr>
        <w:jc w:val="center"/>
        <w:rPr>
          <w:rFonts w:ascii="Times New Roman" w:hAnsi="Times New Roman" w:cs="Times New Roman"/>
        </w:rPr>
      </w:pPr>
      <w:r w:rsidRPr="008A7BA8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l</w:t>
      </w:r>
      <w:r w:rsidRPr="008A7BA8">
        <w:rPr>
          <w:rFonts w:ascii="Times New Roman" w:hAnsi="Times New Roman" w:cs="Times New Roman"/>
          <w:b/>
        </w:rPr>
        <w:t xml:space="preserve"> Figure </w:t>
      </w:r>
      <w:r>
        <w:rPr>
          <w:rFonts w:ascii="Times New Roman" w:hAnsi="Times New Roman" w:cs="Times New Roman"/>
          <w:b/>
        </w:rPr>
        <w:t>3</w:t>
      </w:r>
      <w:r w:rsidRPr="008A7BA8">
        <w:rPr>
          <w:rFonts w:ascii="Times New Roman" w:hAnsi="Times New Roman" w:cs="Times New Roman"/>
          <w:b/>
        </w:rPr>
        <w:t>.</w:t>
      </w:r>
      <w:r w:rsidRPr="008A7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Change in Weight</w:t>
      </w:r>
      <w:r>
        <w:rPr>
          <w:rFonts w:ascii="Times New Roman" w:hAnsi="Times New Roman" w:cs="Times New Roman"/>
        </w:rPr>
        <w:t xml:space="preserve"> in kg </w:t>
      </w:r>
      <w:r>
        <w:rPr>
          <w:rFonts w:ascii="Times New Roman" w:hAnsi="Times New Roman" w:cs="Times New Roman"/>
        </w:rPr>
        <w:t>and BMI</w:t>
      </w:r>
      <w:r>
        <w:rPr>
          <w:rFonts w:ascii="Times New Roman" w:hAnsi="Times New Roman" w:cs="Times New Roman"/>
        </w:rPr>
        <w:t xml:space="preserve"> in kg/m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relative to Baseline ± 95%CI </w:t>
      </w:r>
      <w:r>
        <w:rPr>
          <w:rFonts w:ascii="Times New Roman" w:hAnsi="Times New Roman" w:cs="Times New Roman"/>
        </w:rPr>
        <w:t>among adult participants</w:t>
      </w:r>
      <w:r w:rsidR="004418F0">
        <w:rPr>
          <w:rFonts w:ascii="Times New Roman" w:hAnsi="Times New Roman" w:cs="Times New Roman"/>
        </w:rPr>
        <w:t xml:space="preserve"> (n=35)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CD-DIET. Data for participants randomized to the GCD </w:t>
      </w:r>
      <w:r w:rsidR="004418F0">
        <w:rPr>
          <w:rFonts w:ascii="Times New Roman" w:hAnsi="Times New Roman" w:cs="Times New Roman"/>
        </w:rPr>
        <w:t xml:space="preserve">(n=16) </w:t>
      </w:r>
      <w:r>
        <w:rPr>
          <w:rFonts w:ascii="Times New Roman" w:hAnsi="Times New Roman" w:cs="Times New Roman"/>
        </w:rPr>
        <w:t>are summarized in grey (</w:t>
      </w:r>
      <w:r w:rsidRPr="00CE4DF7">
        <w:rPr>
          <w:rFonts w:ascii="Arial" w:hAnsi="Arial" w:cs="Arial"/>
          <w:color w:val="A6A6A6" w:themeColor="background1" w:themeShade="A6"/>
          <w:sz w:val="21"/>
          <w:szCs w:val="21"/>
          <w:shd w:val="clear" w:color="auto" w:fill="FFFFFF"/>
        </w:rPr>
        <w:t>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</w:rPr>
        <w:t>, while those in the GFD arm</w:t>
      </w:r>
      <w:r w:rsidR="004418F0">
        <w:rPr>
          <w:rFonts w:ascii="Times New Roman" w:hAnsi="Times New Roman" w:cs="Times New Roman"/>
        </w:rPr>
        <w:t xml:space="preserve"> (n=19)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are presented in black (</w:t>
      </w:r>
      <w:r>
        <w:rPr>
          <w:rFonts w:ascii="Segoe UI Symbol" w:hAnsi="Segoe UI Symbol" w:cs="Segoe UI Symbol"/>
          <w:color w:val="222222"/>
          <w:sz w:val="21"/>
          <w:szCs w:val="21"/>
          <w:shd w:val="clear" w:color="auto" w:fill="FFFFFF"/>
        </w:rPr>
        <w:t>⬧</w:t>
      </w:r>
      <w:r>
        <w:rPr>
          <w:rFonts w:ascii="Times New Roman" w:hAnsi="Times New Roman" w:cs="Times New Roman"/>
        </w:rPr>
        <w:t>).</w:t>
      </w:r>
    </w:p>
    <w:p w:rsidR="007D09D7" w:rsidRDefault="007D09D7" w:rsidP="00CE4DF7">
      <w:pPr>
        <w:jc w:val="center"/>
        <w:rPr>
          <w:rFonts w:ascii="Times New Roman" w:hAnsi="Times New Roman" w:cs="Times New Roman"/>
          <w:b/>
        </w:rPr>
      </w:pPr>
    </w:p>
    <w:sectPr w:rsidR="007D09D7" w:rsidSect="00C26D8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880"/>
    <w:multiLevelType w:val="hybridMultilevel"/>
    <w:tmpl w:val="81283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618E"/>
    <w:multiLevelType w:val="hybridMultilevel"/>
    <w:tmpl w:val="7FD0BE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2A5"/>
    <w:multiLevelType w:val="hybridMultilevel"/>
    <w:tmpl w:val="D34C88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2EF7"/>
    <w:multiLevelType w:val="hybridMultilevel"/>
    <w:tmpl w:val="D6F2A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85BE2"/>
    <w:multiLevelType w:val="hybridMultilevel"/>
    <w:tmpl w:val="736432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0517D"/>
    <w:multiLevelType w:val="hybridMultilevel"/>
    <w:tmpl w:val="EDA6B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A3101"/>
    <w:multiLevelType w:val="hybridMultilevel"/>
    <w:tmpl w:val="7E249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A5909"/>
    <w:multiLevelType w:val="hybridMultilevel"/>
    <w:tmpl w:val="0EBEF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0B35"/>
    <w:multiLevelType w:val="hybridMultilevel"/>
    <w:tmpl w:val="2E4A3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572D4"/>
    <w:multiLevelType w:val="hybridMultilevel"/>
    <w:tmpl w:val="EF74E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85D66"/>
    <w:multiLevelType w:val="hybridMultilevel"/>
    <w:tmpl w:val="C23E3A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1590F"/>
    <w:multiLevelType w:val="hybridMultilevel"/>
    <w:tmpl w:val="9EC2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36EAB"/>
    <w:multiLevelType w:val="multilevel"/>
    <w:tmpl w:val="CC5C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8B5C7F"/>
    <w:multiLevelType w:val="hybridMultilevel"/>
    <w:tmpl w:val="9FE6C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5"/>
    <w:rsid w:val="00044E52"/>
    <w:rsid w:val="000D710E"/>
    <w:rsid w:val="001B07C5"/>
    <w:rsid w:val="002658E4"/>
    <w:rsid w:val="004418F0"/>
    <w:rsid w:val="00441AE7"/>
    <w:rsid w:val="0056117B"/>
    <w:rsid w:val="00597113"/>
    <w:rsid w:val="007249D7"/>
    <w:rsid w:val="00793740"/>
    <w:rsid w:val="007D09D7"/>
    <w:rsid w:val="00827025"/>
    <w:rsid w:val="008F07FC"/>
    <w:rsid w:val="0091261F"/>
    <w:rsid w:val="0097271A"/>
    <w:rsid w:val="00991D9D"/>
    <w:rsid w:val="009C54F4"/>
    <w:rsid w:val="009D49DF"/>
    <w:rsid w:val="00B27AC8"/>
    <w:rsid w:val="00C0135B"/>
    <w:rsid w:val="00C10B9B"/>
    <w:rsid w:val="00C26D8A"/>
    <w:rsid w:val="00C75E98"/>
    <w:rsid w:val="00C9395E"/>
    <w:rsid w:val="00CE4DF7"/>
    <w:rsid w:val="00E1186F"/>
    <w:rsid w:val="00E46FA5"/>
    <w:rsid w:val="00E71942"/>
    <w:rsid w:val="00F125D0"/>
    <w:rsid w:val="00F95B9C"/>
    <w:rsid w:val="00FE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7A39A-1D23-450F-930A-C7876183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7C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7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7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7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7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B07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B07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B07C5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ListParagraph">
    <w:name w:val="List Paragraph"/>
    <w:basedOn w:val="Normal"/>
    <w:uiPriority w:val="34"/>
    <w:qFormat/>
    <w:rsid w:val="001B07C5"/>
    <w:pPr>
      <w:spacing w:after="0" w:line="240" w:lineRule="auto"/>
      <w:ind w:left="720"/>
      <w:contextualSpacing/>
    </w:pPr>
    <w:rPr>
      <w:sz w:val="24"/>
      <w:szCs w:val="24"/>
      <w:lang w:val="en-CA"/>
    </w:rPr>
  </w:style>
  <w:style w:type="paragraph" w:styleId="NoSpacing">
    <w:name w:val="No Spacing"/>
    <w:uiPriority w:val="1"/>
    <w:qFormat/>
    <w:rsid w:val="001B07C5"/>
    <w:pPr>
      <w:spacing w:after="0" w:line="240" w:lineRule="auto"/>
    </w:pPr>
    <w:rPr>
      <w:rFonts w:eastAsia="Batang"/>
      <w:noProof/>
    </w:rPr>
  </w:style>
  <w:style w:type="table" w:styleId="TableGrid">
    <w:name w:val="Table Grid"/>
    <w:basedOn w:val="TableNormal"/>
    <w:uiPriority w:val="39"/>
    <w:rsid w:val="001B07C5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B07C5"/>
  </w:style>
  <w:style w:type="character" w:styleId="Hyperlink">
    <w:name w:val="Hyperlink"/>
    <w:basedOn w:val="DefaultParagraphFont"/>
    <w:uiPriority w:val="99"/>
    <w:unhideWhenUsed/>
    <w:rsid w:val="001B07C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0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7C5"/>
    <w:pPr>
      <w:spacing w:line="240" w:lineRule="auto"/>
    </w:pPr>
    <w:rPr>
      <w:rFonts w:eastAsia="Batang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7C5"/>
    <w:rPr>
      <w:rFonts w:eastAsia="Batang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7C5"/>
    <w:rPr>
      <w:rFonts w:eastAsia="Batang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C5"/>
    <w:rPr>
      <w:rFonts w:ascii="Segoe UI" w:hAnsi="Segoe UI" w:cs="Segoe UI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rsid w:val="001B07C5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1B07C5"/>
    <w:pPr>
      <w:spacing w:line="240" w:lineRule="auto"/>
    </w:pPr>
    <w:rPr>
      <w:rFonts w:ascii="Calibri" w:hAnsi="Calibri"/>
    </w:rPr>
  </w:style>
  <w:style w:type="paragraph" w:styleId="Revision">
    <w:name w:val="Revision"/>
    <w:hidden/>
    <w:uiPriority w:val="99"/>
    <w:semiHidden/>
    <w:rsid w:val="001B07C5"/>
    <w:pPr>
      <w:spacing w:after="0" w:line="240" w:lineRule="auto"/>
    </w:pPr>
    <w:rPr>
      <w:rFonts w:eastAsia="Batang"/>
    </w:rPr>
  </w:style>
  <w:style w:type="table" w:customStyle="1" w:styleId="PlainTable11">
    <w:name w:val="Plain Table 11"/>
    <w:basedOn w:val="TableNormal"/>
    <w:uiPriority w:val="41"/>
    <w:rsid w:val="001B07C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1">
    <w:name w:val="Plain Table 41"/>
    <w:basedOn w:val="TableNormal"/>
    <w:uiPriority w:val="44"/>
    <w:rsid w:val="001B07C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1B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7C5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B07C5"/>
  </w:style>
  <w:style w:type="character" w:styleId="LineNumber">
    <w:name w:val="line number"/>
    <w:basedOn w:val="DefaultParagraphFont"/>
    <w:uiPriority w:val="99"/>
    <w:semiHidden/>
    <w:unhideWhenUsed/>
    <w:rsid w:val="001B07C5"/>
  </w:style>
  <w:style w:type="paragraph" w:styleId="Header">
    <w:name w:val="header"/>
    <w:basedOn w:val="Normal"/>
    <w:link w:val="HeaderChar"/>
    <w:uiPriority w:val="99"/>
    <w:unhideWhenUsed/>
    <w:rsid w:val="001B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C5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B07C5"/>
    <w:rPr>
      <w:color w:val="954F72" w:themeColor="followedHyperlink"/>
      <w:u w:val="single"/>
    </w:rPr>
  </w:style>
  <w:style w:type="character" w:customStyle="1" w:styleId="highlight">
    <w:name w:val="highlight"/>
    <w:basedOn w:val="DefaultParagraphFont"/>
    <w:rsid w:val="001B07C5"/>
  </w:style>
  <w:style w:type="character" w:customStyle="1" w:styleId="ui-ncbitoggler-master-text">
    <w:name w:val="ui-ncbitoggler-master-text"/>
    <w:basedOn w:val="DefaultParagraphFont"/>
    <w:rsid w:val="001B07C5"/>
  </w:style>
  <w:style w:type="paragraph" w:styleId="NormalWeb">
    <w:name w:val="Normal (Web)"/>
    <w:basedOn w:val="Normal"/>
    <w:uiPriority w:val="99"/>
    <w:semiHidden/>
    <w:unhideWhenUsed/>
    <w:rsid w:val="001B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customStyle="1" w:styleId="xmsonormal">
    <w:name w:val="x_msonormal"/>
    <w:basedOn w:val="Normal"/>
    <w:rsid w:val="001B0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Clarke</dc:creator>
  <cp:keywords/>
  <dc:description/>
  <cp:lastModifiedBy>Antoine Clarke</cp:lastModifiedBy>
  <cp:revision>2</cp:revision>
  <cp:lastPrinted>2020-03-06T17:16:00Z</cp:lastPrinted>
  <dcterms:created xsi:type="dcterms:W3CDTF">2020-03-06T17:34:00Z</dcterms:created>
  <dcterms:modified xsi:type="dcterms:W3CDTF">2020-03-06T17:34:00Z</dcterms:modified>
</cp:coreProperties>
</file>