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DB0EE" w14:textId="738D0F87" w:rsidR="00D75C10" w:rsidRDefault="00841B3C">
      <w:pPr>
        <w:rPr>
          <w:rFonts w:ascii="Arial" w:hAnsi="Arial" w:cs="Arial"/>
          <w:b/>
          <w:bCs/>
          <w:u w:val="single"/>
        </w:rPr>
      </w:pPr>
      <w:r w:rsidRPr="00841B3C">
        <w:rPr>
          <w:rFonts w:ascii="Arial" w:hAnsi="Arial" w:cs="Arial"/>
          <w:b/>
          <w:bCs/>
          <w:u w:val="single"/>
        </w:rPr>
        <w:t>Dosing Guidance</w:t>
      </w:r>
    </w:p>
    <w:p w14:paraId="0599B1C5" w14:textId="2EE918D9" w:rsidR="00716FC7" w:rsidRPr="00737F14" w:rsidRDefault="00716FC7">
      <w:pPr>
        <w:rPr>
          <w:rFonts w:ascii="Arial" w:hAnsi="Arial" w:cs="Arial"/>
          <w:b/>
          <w:bCs/>
        </w:rPr>
      </w:pPr>
      <w:r w:rsidRPr="00737F14">
        <w:rPr>
          <w:rStyle w:val="normaltextrun"/>
          <w:rFonts w:ascii="Arial" w:hAnsi="Arial" w:cs="Arial"/>
          <w:shd w:val="clear" w:color="auto" w:fill="FFFFFF"/>
          <w:lang w:val="en-AU"/>
        </w:rPr>
        <w:t>The general approach for dosing of BIF and degludec uses a similar fasting glucose target for both treatments and pre</w:t>
      </w:r>
      <w:r w:rsidRPr="00737F14">
        <w:rPr>
          <w:rStyle w:val="normaltextrun"/>
          <w:rFonts w:ascii="Arial" w:hAnsi="Arial" w:cs="Arial"/>
          <w:strike/>
          <w:shd w:val="clear" w:color="auto" w:fill="FFFFFF"/>
          <w:lang w:val="en-AU"/>
        </w:rPr>
        <w:t>-</w:t>
      </w:r>
      <w:r w:rsidRPr="00737F14">
        <w:rPr>
          <w:rStyle w:val="normaltextrun"/>
          <w:rFonts w:ascii="Arial" w:hAnsi="Arial" w:cs="Arial"/>
          <w:shd w:val="clear" w:color="auto" w:fill="FFFFFF"/>
          <w:lang w:val="en-AU"/>
        </w:rPr>
        <w:t xml:space="preserve">specifies the FBG tier and corresponding dose increment for each treatment, as well as hypoglycemia criteria for considering dose reduction </w:t>
      </w:r>
      <w:proofErr w:type="gramStart"/>
      <w:r w:rsidRPr="00737F14">
        <w:rPr>
          <w:rStyle w:val="normaltextrun"/>
          <w:rFonts w:ascii="Arial" w:hAnsi="Arial" w:cs="Arial"/>
          <w:shd w:val="clear" w:color="auto" w:fill="FFFFFF"/>
          <w:lang w:val="en-AU"/>
        </w:rPr>
        <w:t>taking into account</w:t>
      </w:r>
      <w:proofErr w:type="gramEnd"/>
      <w:r w:rsidRPr="00737F14">
        <w:rPr>
          <w:rStyle w:val="normaltextrun"/>
          <w:rFonts w:ascii="Arial" w:hAnsi="Arial" w:cs="Arial"/>
          <w:shd w:val="clear" w:color="auto" w:fill="FFFFFF"/>
          <w:lang w:val="en-AU"/>
        </w:rPr>
        <w:t xml:space="preserve"> differences in their differing pharmacokinetic and pharmacodynamic characteristic</w:t>
      </w:r>
      <w:r w:rsidR="004E4CA5" w:rsidRPr="00737F14">
        <w:rPr>
          <w:rStyle w:val="normaltextrun"/>
          <w:rFonts w:ascii="Arial" w:hAnsi="Arial" w:cs="Arial"/>
          <w:shd w:val="clear" w:color="auto" w:fill="FFFFFF"/>
          <w:lang w:val="en-AU"/>
        </w:rPr>
        <w:t>s.</w:t>
      </w:r>
    </w:p>
    <w:p w14:paraId="03555552" w14:textId="62863023" w:rsidR="00841B3C" w:rsidRPr="00841B3C" w:rsidRDefault="00841B3C">
      <w:pPr>
        <w:rPr>
          <w:rFonts w:ascii="Arial" w:hAnsi="Arial" w:cs="Arial"/>
          <w:b/>
          <w:bCs/>
        </w:rPr>
      </w:pPr>
      <w:r w:rsidRPr="00841B3C">
        <w:rPr>
          <w:rFonts w:ascii="Arial" w:hAnsi="Arial" w:cs="Arial"/>
          <w:b/>
          <w:bCs/>
        </w:rPr>
        <w:t>BIF (Paper Algorithm)</w:t>
      </w:r>
      <w:r w:rsidR="009F4A2A">
        <w:rPr>
          <w:rFonts w:ascii="Arial" w:hAnsi="Arial" w:cs="Arial"/>
          <w:b/>
          <w:bCs/>
        </w:rPr>
        <w:t xml:space="preserve"> Dosing</w:t>
      </w:r>
    </w:p>
    <w:p w14:paraId="4E5BCC8D" w14:textId="69F51639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  <w:r w:rsidRPr="6860E571">
        <w:rPr>
          <w:rFonts w:ascii="Arial" w:eastAsia="TimesNewRoman" w:hAnsi="Arial" w:cs="Arial"/>
        </w:rPr>
        <w:t xml:space="preserve">The treat-to-target fasting glucose in the algorithm was </w:t>
      </w:r>
      <w:r w:rsidR="408FC9A5" w:rsidRPr="6860E571">
        <w:rPr>
          <w:rFonts w:ascii="Arial" w:eastAsia="TimesNewRoman" w:hAnsi="Arial" w:cs="Arial"/>
        </w:rPr>
        <w:t>80-</w:t>
      </w:r>
      <w:r w:rsidRPr="6860E571">
        <w:rPr>
          <w:rFonts w:ascii="Arial" w:eastAsia="TimesNewRoman" w:hAnsi="Arial" w:cs="Arial"/>
        </w:rPr>
        <w:t>100 mg/dL (</w:t>
      </w:r>
      <w:r w:rsidR="130C6969" w:rsidRPr="6860E571">
        <w:rPr>
          <w:rFonts w:ascii="Arial" w:eastAsia="TimesNewRoman" w:hAnsi="Arial" w:cs="Arial"/>
        </w:rPr>
        <w:t xml:space="preserve">4.4 to </w:t>
      </w:r>
      <w:r w:rsidRPr="6860E571">
        <w:rPr>
          <w:rFonts w:ascii="Arial" w:eastAsia="TimesNewRoman" w:hAnsi="Arial" w:cs="Arial"/>
        </w:rPr>
        <w:t>&lt;5.6 mmol/L). BIF dose adjustments were determined based on the median of the fasting glucose from SM</w:t>
      </w:r>
      <w:r w:rsidR="1F451F7C" w:rsidRPr="6860E571">
        <w:rPr>
          <w:rFonts w:ascii="Arial" w:eastAsia="TimesNewRoman" w:hAnsi="Arial" w:cs="Arial"/>
        </w:rPr>
        <w:t>B</w:t>
      </w:r>
      <w:r w:rsidRPr="6860E571">
        <w:rPr>
          <w:rFonts w:ascii="Arial" w:eastAsia="TimesNewRoman" w:hAnsi="Arial" w:cs="Arial"/>
        </w:rPr>
        <w:t>G of at least 3 days (up to 7 days) obtained in the previous week leading up to the visit. The BIF dose was not increased if any SM</w:t>
      </w:r>
      <w:r w:rsidR="5F40824D" w:rsidRPr="6860E571">
        <w:rPr>
          <w:rFonts w:ascii="Arial" w:eastAsia="TimesNewRoman" w:hAnsi="Arial" w:cs="Arial"/>
        </w:rPr>
        <w:t>B</w:t>
      </w:r>
      <w:r w:rsidRPr="6860E571">
        <w:rPr>
          <w:rFonts w:ascii="Arial" w:eastAsia="TimesNewRoman" w:hAnsi="Arial" w:cs="Arial"/>
        </w:rPr>
        <w:t xml:space="preserve">G reading was documented at ≤70 mg/dL (&lt;3.9 mmol/L) at any time in the preceding week. Dose decreases of 0.5 mg adjustment </w:t>
      </w:r>
      <w:r w:rsidR="00B67602">
        <w:rPr>
          <w:rFonts w:ascii="Arial" w:eastAsia="TimesNewRoman" w:hAnsi="Arial" w:cs="Arial"/>
        </w:rPr>
        <w:t>were</w:t>
      </w:r>
      <w:r w:rsidR="00B67602" w:rsidRPr="6860E571">
        <w:rPr>
          <w:rFonts w:ascii="Arial" w:eastAsia="TimesNewRoman" w:hAnsi="Arial" w:cs="Arial"/>
        </w:rPr>
        <w:t xml:space="preserve"> </w:t>
      </w:r>
      <w:r w:rsidRPr="6860E571">
        <w:rPr>
          <w:rFonts w:ascii="Arial" w:eastAsia="TimesNewRoman" w:hAnsi="Arial" w:cs="Arial"/>
        </w:rPr>
        <w:t>permitted if multiple episodes of hypoglycemia with SM</w:t>
      </w:r>
      <w:r w:rsidR="127FC4D1" w:rsidRPr="6860E571">
        <w:rPr>
          <w:rFonts w:ascii="Arial" w:eastAsia="TimesNewRoman" w:hAnsi="Arial" w:cs="Arial"/>
        </w:rPr>
        <w:t>B</w:t>
      </w:r>
      <w:r w:rsidRPr="6860E571">
        <w:rPr>
          <w:rFonts w:ascii="Arial" w:eastAsia="TimesNewRoman" w:hAnsi="Arial" w:cs="Arial"/>
        </w:rPr>
        <w:t>G ≤70 mg/dL (&lt;3.9 mmol/L) were recorded, or dose decrease of 1 mg if severe hypoglycemia (requiring assistance) occurred, or if any SM</w:t>
      </w:r>
      <w:r w:rsidR="3E0EC2C4" w:rsidRPr="6860E571">
        <w:rPr>
          <w:rFonts w:ascii="Arial" w:eastAsia="TimesNewRoman" w:hAnsi="Arial" w:cs="Arial"/>
        </w:rPr>
        <w:t>B</w:t>
      </w:r>
      <w:r w:rsidRPr="6860E571">
        <w:rPr>
          <w:rFonts w:ascii="Arial" w:eastAsia="TimesNewRoman" w:hAnsi="Arial" w:cs="Arial"/>
        </w:rPr>
        <w:t>G was documented at ≤54 mg/dL (≤3.0 mmol/L) in the preceding week.</w:t>
      </w:r>
    </w:p>
    <w:p w14:paraId="32C328F8" w14:textId="08274815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04079394" w14:textId="326570D8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The initial (Week 0, Visit 3) </w:t>
      </w:r>
      <w:r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dose </w:t>
      </w:r>
      <w:r>
        <w:rPr>
          <w:rFonts w:ascii="Arial" w:eastAsia="TimesNewRoman" w:hAnsi="Arial" w:cs="Arial"/>
        </w:rPr>
        <w:t>wa</w:t>
      </w:r>
      <w:r w:rsidRPr="00841B3C">
        <w:rPr>
          <w:rFonts w:ascii="Arial" w:eastAsia="TimesNewRoman" w:hAnsi="Arial" w:cs="Arial"/>
        </w:rPr>
        <w:t>s based on the baseline median fasting glucose</w:t>
      </w:r>
    </w:p>
    <w:p w14:paraId="297C4F2B" w14:textId="7A626C8C" w:rsid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and body weight at Visit 3. </w:t>
      </w:r>
      <w:r>
        <w:rPr>
          <w:rFonts w:ascii="Arial" w:eastAsia="TimesNewRoman" w:hAnsi="Arial" w:cs="Arial"/>
        </w:rPr>
        <w:t>T</w:t>
      </w:r>
      <w:r w:rsidRPr="00841B3C">
        <w:rPr>
          <w:rFonts w:ascii="Arial" w:eastAsia="TimesNewRoman" w:hAnsi="Arial" w:cs="Arial"/>
        </w:rPr>
        <w:t>he initial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dose was increased 3-fold </w:t>
      </w:r>
      <w:proofErr w:type="gramStart"/>
      <w:r w:rsidRPr="00841B3C">
        <w:rPr>
          <w:rFonts w:ascii="Arial" w:eastAsia="TimesNewRoman" w:hAnsi="Arial" w:cs="Arial"/>
        </w:rPr>
        <w:t>in order to</w:t>
      </w:r>
      <w:proofErr w:type="gramEnd"/>
      <w:r w:rsidRPr="00841B3C">
        <w:rPr>
          <w:rFonts w:ascii="Arial" w:eastAsia="TimesNewRoman" w:hAnsi="Arial" w:cs="Arial"/>
        </w:rPr>
        <w:t xml:space="preserve"> achieve steady-state concentration within the first week.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Directions provided below </w:t>
      </w:r>
      <w:r w:rsidR="00AA4CBA">
        <w:rPr>
          <w:rFonts w:ascii="Arial" w:eastAsia="TimesNewRoman" w:hAnsi="Arial" w:cs="Arial"/>
        </w:rPr>
        <w:t xml:space="preserve">were used </w:t>
      </w:r>
      <w:r w:rsidRPr="00841B3C">
        <w:rPr>
          <w:rFonts w:ascii="Arial" w:eastAsia="TimesNewRoman" w:hAnsi="Arial" w:cs="Arial"/>
        </w:rPr>
        <w:t>to determine the initial dose and for dose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adjustments at subsequent visits </w:t>
      </w:r>
    </w:p>
    <w:p w14:paraId="4947EB96" w14:textId="77777777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20F5FD1D" w14:textId="1A9AD219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841B3C">
        <w:rPr>
          <w:rFonts w:ascii="Arial" w:eastAsia="TimesNewRoman" w:hAnsi="Arial" w:cs="Arial"/>
          <w:i/>
          <w:iCs/>
        </w:rPr>
        <w:t>Week 0, Visit 3 (Randomization Visit):</w:t>
      </w:r>
    </w:p>
    <w:p w14:paraId="17FC08DF" w14:textId="33B395EF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>Determine the initial dose by obtaining the participant’s body weight and median F</w:t>
      </w:r>
      <w:r w:rsidR="0084337B">
        <w:rPr>
          <w:rFonts w:ascii="Arial" w:eastAsia="TimesNewRoman" w:hAnsi="Arial" w:cs="Arial"/>
        </w:rPr>
        <w:t>B</w:t>
      </w:r>
      <w:r w:rsidRPr="00841B3C">
        <w:rPr>
          <w:rFonts w:ascii="Arial" w:eastAsia="TimesNewRoman" w:hAnsi="Arial" w:cs="Arial"/>
        </w:rPr>
        <w:t>G in</w:t>
      </w:r>
    </w:p>
    <w:p w14:paraId="3AED037E" w14:textId="506E7E26" w:rsid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the week prior to Visit 3 and consulting </w:t>
      </w:r>
      <w:r w:rsidR="00E2047F">
        <w:rPr>
          <w:rFonts w:ascii="Arial" w:eastAsia="TimesNewRoman" w:hAnsi="Arial" w:cs="Arial"/>
        </w:rPr>
        <w:t>the table below</w:t>
      </w:r>
      <w:r w:rsidRPr="00841B3C">
        <w:rPr>
          <w:rFonts w:ascii="Arial" w:eastAsia="TimesNewRoman" w:hAnsi="Arial" w:cs="Arial"/>
        </w:rPr>
        <w:t>.</w:t>
      </w:r>
    </w:p>
    <w:p w14:paraId="39EA5F22" w14:textId="77777777" w:rsidR="00144CE2" w:rsidRPr="00841B3C" w:rsidRDefault="00144CE2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42274E86" w14:textId="3C336B79" w:rsidR="00841B3C" w:rsidRPr="00144CE2" w:rsidRDefault="00144CE2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sz w:val="24"/>
          <w:szCs w:val="24"/>
        </w:rPr>
      </w:pPr>
      <w:r w:rsidRPr="00144CE2">
        <w:rPr>
          <w:rFonts w:ascii="Arial" w:eastAsia="TimesNewRoman" w:hAnsi="Arial" w:cs="Arial"/>
          <w:b/>
          <w:bCs/>
          <w:sz w:val="24"/>
          <w:szCs w:val="24"/>
        </w:rPr>
        <w:t xml:space="preserve">Determination of Initial </w:t>
      </w:r>
      <w:proofErr w:type="spellStart"/>
      <w:r w:rsidRPr="00144CE2">
        <w:rPr>
          <w:rFonts w:ascii="Arial" w:eastAsia="TimesNewRoman" w:hAnsi="Arial" w:cs="Arial"/>
          <w:b/>
          <w:bCs/>
          <w:sz w:val="24"/>
          <w:szCs w:val="24"/>
        </w:rPr>
        <w:t>Dose</w:t>
      </w:r>
      <w:r w:rsidRPr="00144CE2">
        <w:rPr>
          <w:rFonts w:ascii="Arial" w:eastAsia="TimesNewRoman" w:hAnsi="Arial" w:cs="Arial"/>
          <w:b/>
          <w:bCs/>
          <w:sz w:val="24"/>
          <w:szCs w:val="24"/>
          <w:vertAlign w:val="superscript"/>
        </w:rPr>
        <w:t>a</w:t>
      </w:r>
      <w:proofErr w:type="spellEnd"/>
      <w:r w:rsidRPr="00144CE2">
        <w:rPr>
          <w:rFonts w:ascii="Arial" w:eastAsia="TimesNewRoman" w:hAnsi="Arial" w:cs="Arial"/>
          <w:b/>
          <w:bCs/>
          <w:sz w:val="24"/>
          <w:szCs w:val="24"/>
        </w:rPr>
        <w:t xml:space="preserve"> of BIF at Visit 3 using Median of Baseline Fasting Glucose and Body Weight</w:t>
      </w:r>
      <w:r w:rsidR="002B541F">
        <w:rPr>
          <w:rFonts w:ascii="Arial" w:eastAsia="TimesNewRoman" w:hAnsi="Arial" w:cs="Arial"/>
          <w:b/>
          <w:bCs/>
          <w:sz w:val="24"/>
          <w:szCs w:val="24"/>
        </w:rPr>
        <w:t xml:space="preserve"> obtained at Visit 3</w:t>
      </w:r>
    </w:p>
    <w:tbl>
      <w:tblPr>
        <w:tblStyle w:val="TableGrid"/>
        <w:tblW w:w="9715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975"/>
        <w:gridCol w:w="2070"/>
        <w:gridCol w:w="1350"/>
        <w:gridCol w:w="1440"/>
        <w:gridCol w:w="1530"/>
        <w:gridCol w:w="1350"/>
      </w:tblGrid>
      <w:tr w:rsidR="00587FB0" w14:paraId="473775F3" w14:textId="77777777" w:rsidTr="00B009B4">
        <w:trPr>
          <w:trHeight w:val="570"/>
        </w:trPr>
        <w:tc>
          <w:tcPr>
            <w:tcW w:w="1975" w:type="dxa"/>
            <w:tcBorders>
              <w:bottom w:val="nil"/>
            </w:tcBorders>
          </w:tcPr>
          <w:p w14:paraId="104B62C0" w14:textId="7F706AD8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b/>
                <w:bCs/>
              </w:rPr>
            </w:pPr>
            <w:r>
              <w:rPr>
                <w:rFonts w:ascii="Arial" w:eastAsia="TimesNewRoman" w:hAnsi="Arial" w:cs="Arial"/>
                <w:b/>
                <w:bCs/>
              </w:rPr>
              <w:t>Median Baseline Fasting Glucose</w:t>
            </w:r>
          </w:p>
        </w:tc>
        <w:tc>
          <w:tcPr>
            <w:tcW w:w="2070" w:type="dxa"/>
            <w:tcBorders>
              <w:bottom w:val="nil"/>
            </w:tcBorders>
          </w:tcPr>
          <w:p w14:paraId="37182B0E" w14:textId="16BFE971" w:rsidR="00587FB0" w:rsidRPr="00841B3C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>
              <w:rPr>
                <w:rFonts w:ascii="Arial" w:eastAsia="TimesNewRoman" w:hAnsi="Arial" w:cs="Arial"/>
                <w:b/>
                <w:bCs/>
              </w:rPr>
              <w:t>Median Baseline Fasting Glucose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538809E" w14:textId="7B278FA1" w:rsidR="00587FB0" w:rsidRPr="00841B3C" w:rsidRDefault="00587FB0" w:rsidP="00423959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>BIF Dose for BW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3AB00A5" w14:textId="21D362CE" w:rsidR="00587FB0" w:rsidRPr="00841B3C" w:rsidRDefault="00423959" w:rsidP="00423959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="00587FB0">
              <w:rPr>
                <w:rFonts w:ascii="Arial" w:eastAsia="TimesNewRoman,Bold" w:hAnsi="Arial" w:cs="Arial"/>
                <w:b/>
                <w:bCs/>
              </w:rPr>
              <w:t xml:space="preserve">BIF Dose for </w:t>
            </w:r>
            <w:r w:rsidR="00587FB0" w:rsidRPr="00970072">
              <w:rPr>
                <w:rFonts w:ascii="Arial" w:eastAsia="TimesNewRoman,Bold" w:hAnsi="Arial" w:cs="Arial"/>
                <w:b/>
                <w:bCs/>
              </w:rPr>
              <w:t>BW</w:t>
            </w: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62448C36" w14:textId="34CC6F37" w:rsidR="00587FB0" w:rsidRPr="00841B3C" w:rsidRDefault="00423959" w:rsidP="00423959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 xml:space="preserve">  </w:t>
            </w:r>
            <w:r w:rsidR="00587FB0">
              <w:rPr>
                <w:rFonts w:ascii="Arial" w:eastAsia="TimesNewRoman,Bold" w:hAnsi="Arial" w:cs="Arial"/>
                <w:b/>
                <w:bCs/>
              </w:rPr>
              <w:t xml:space="preserve">BIF Dose for </w:t>
            </w:r>
            <w:r w:rsidR="00587FB0" w:rsidRPr="00970072">
              <w:rPr>
                <w:rFonts w:ascii="Arial" w:eastAsia="TimesNewRoman,Bold" w:hAnsi="Arial" w:cs="Arial"/>
                <w:b/>
                <w:bCs/>
              </w:rPr>
              <w:t>BW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AC3DE63" w14:textId="3DD56821" w:rsidR="00587FB0" w:rsidRPr="00841B3C" w:rsidRDefault="00587FB0" w:rsidP="00423959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 xml:space="preserve">BIF Dose for </w:t>
            </w:r>
            <w:r w:rsidRPr="00970072">
              <w:rPr>
                <w:rFonts w:ascii="Arial" w:eastAsia="TimesNewRoman,Bold" w:hAnsi="Arial" w:cs="Arial"/>
                <w:b/>
                <w:bCs/>
              </w:rPr>
              <w:t>BW</w:t>
            </w:r>
          </w:p>
        </w:tc>
      </w:tr>
      <w:tr w:rsidR="00587FB0" w14:paraId="09EF3C27" w14:textId="77777777" w:rsidTr="00F870E8">
        <w:trPr>
          <w:trHeight w:val="378"/>
        </w:trPr>
        <w:tc>
          <w:tcPr>
            <w:tcW w:w="1975" w:type="dxa"/>
            <w:tcBorders>
              <w:top w:val="nil"/>
            </w:tcBorders>
          </w:tcPr>
          <w:p w14:paraId="4C557953" w14:textId="6F17A6AE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b/>
                <w:bCs/>
              </w:rPr>
            </w:pPr>
            <w:r>
              <w:rPr>
                <w:rFonts w:ascii="Arial" w:eastAsia="TimesNewRoman" w:hAnsi="Arial" w:cs="Arial"/>
                <w:b/>
                <w:bCs/>
              </w:rPr>
              <w:t>(mg/dL)</w:t>
            </w:r>
          </w:p>
        </w:tc>
        <w:tc>
          <w:tcPr>
            <w:tcW w:w="2070" w:type="dxa"/>
            <w:tcBorders>
              <w:top w:val="nil"/>
            </w:tcBorders>
          </w:tcPr>
          <w:p w14:paraId="061C4AE9" w14:textId="54F38B30" w:rsidR="00587FB0" w:rsidRPr="00841B3C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(mmol/L)</w:t>
            </w:r>
          </w:p>
        </w:tc>
        <w:tc>
          <w:tcPr>
            <w:tcW w:w="1350" w:type="dxa"/>
            <w:tcBorders>
              <w:top w:val="nil"/>
            </w:tcBorders>
          </w:tcPr>
          <w:p w14:paraId="06727363" w14:textId="2D7A71EA" w:rsidR="00587FB0" w:rsidRDefault="00587FB0" w:rsidP="00423959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≤80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kg</w:t>
            </w:r>
          </w:p>
        </w:tc>
        <w:tc>
          <w:tcPr>
            <w:tcW w:w="1440" w:type="dxa"/>
            <w:tcBorders>
              <w:top w:val="nil"/>
            </w:tcBorders>
          </w:tcPr>
          <w:p w14:paraId="6FC14CEB" w14:textId="7A663210" w:rsidR="00587FB0" w:rsidRPr="00841B3C" w:rsidRDefault="00587FB0" w:rsidP="00FA2924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80.1–100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kg</w:t>
            </w:r>
          </w:p>
        </w:tc>
        <w:tc>
          <w:tcPr>
            <w:tcW w:w="1530" w:type="dxa"/>
            <w:tcBorders>
              <w:top w:val="nil"/>
            </w:tcBorders>
          </w:tcPr>
          <w:p w14:paraId="65B0B6CD" w14:textId="32ACE282" w:rsidR="00587FB0" w:rsidRPr="00841B3C" w:rsidRDefault="00587FB0" w:rsidP="00FA2924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100.1–120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kg</w:t>
            </w:r>
          </w:p>
        </w:tc>
        <w:tc>
          <w:tcPr>
            <w:tcW w:w="1350" w:type="dxa"/>
            <w:tcBorders>
              <w:top w:val="nil"/>
            </w:tcBorders>
          </w:tcPr>
          <w:p w14:paraId="4761B1CF" w14:textId="2EE45851" w:rsidR="00587FB0" w:rsidRPr="00841B3C" w:rsidRDefault="00587FB0" w:rsidP="00FA2924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≥120.1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kg</w:t>
            </w:r>
          </w:p>
        </w:tc>
      </w:tr>
      <w:tr w:rsidR="00587FB0" w14:paraId="5337F364" w14:textId="77777777" w:rsidTr="00423959">
        <w:trPr>
          <w:trHeight w:val="300"/>
        </w:trPr>
        <w:tc>
          <w:tcPr>
            <w:tcW w:w="1975" w:type="dxa"/>
          </w:tcPr>
          <w:p w14:paraId="3C589039" w14:textId="02E80840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≤140</w:t>
            </w:r>
          </w:p>
        </w:tc>
        <w:tc>
          <w:tcPr>
            <w:tcW w:w="2070" w:type="dxa"/>
          </w:tcPr>
          <w:p w14:paraId="2CA1B320" w14:textId="43A74220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≤7.7</w:t>
            </w:r>
          </w:p>
        </w:tc>
        <w:tc>
          <w:tcPr>
            <w:tcW w:w="1350" w:type="dxa"/>
          </w:tcPr>
          <w:p w14:paraId="526192FD" w14:textId="237E5E97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3 mg</w:t>
            </w:r>
          </w:p>
        </w:tc>
        <w:tc>
          <w:tcPr>
            <w:tcW w:w="1440" w:type="dxa"/>
          </w:tcPr>
          <w:p w14:paraId="0450CEE1" w14:textId="3BE91E0E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4.5 mg</w:t>
            </w:r>
          </w:p>
        </w:tc>
        <w:tc>
          <w:tcPr>
            <w:tcW w:w="1530" w:type="dxa"/>
          </w:tcPr>
          <w:p w14:paraId="2B1D2E7C" w14:textId="5C90E5C4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6 mg</w:t>
            </w:r>
          </w:p>
        </w:tc>
        <w:tc>
          <w:tcPr>
            <w:tcW w:w="1350" w:type="dxa"/>
          </w:tcPr>
          <w:p w14:paraId="198D0CFD" w14:textId="3F14C4CB" w:rsidR="00587FB0" w:rsidRPr="00E2047F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7.5 mg</w:t>
            </w:r>
          </w:p>
        </w:tc>
      </w:tr>
      <w:tr w:rsidR="00587FB0" w14:paraId="0B1725AF" w14:textId="77777777" w:rsidTr="00423959">
        <w:trPr>
          <w:trHeight w:val="300"/>
        </w:trPr>
        <w:tc>
          <w:tcPr>
            <w:tcW w:w="1975" w:type="dxa"/>
          </w:tcPr>
          <w:p w14:paraId="248126FC" w14:textId="06458DE5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141 – 180</w:t>
            </w:r>
          </w:p>
        </w:tc>
        <w:tc>
          <w:tcPr>
            <w:tcW w:w="2070" w:type="dxa"/>
          </w:tcPr>
          <w:p w14:paraId="09C15B5B" w14:textId="0F1F2965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7.8 – 10.0</w:t>
            </w:r>
          </w:p>
        </w:tc>
        <w:tc>
          <w:tcPr>
            <w:tcW w:w="1350" w:type="dxa"/>
          </w:tcPr>
          <w:p w14:paraId="59DA6250" w14:textId="61F17BA7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6 mg</w:t>
            </w:r>
          </w:p>
        </w:tc>
        <w:tc>
          <w:tcPr>
            <w:tcW w:w="1440" w:type="dxa"/>
          </w:tcPr>
          <w:p w14:paraId="29FA7001" w14:textId="4619077D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7.5 mg</w:t>
            </w:r>
          </w:p>
        </w:tc>
        <w:tc>
          <w:tcPr>
            <w:tcW w:w="1530" w:type="dxa"/>
          </w:tcPr>
          <w:p w14:paraId="07A7A125" w14:textId="3DC52B80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10.5 mg</w:t>
            </w:r>
          </w:p>
        </w:tc>
        <w:tc>
          <w:tcPr>
            <w:tcW w:w="1350" w:type="dxa"/>
          </w:tcPr>
          <w:p w14:paraId="44DDC68F" w14:textId="758D4243" w:rsidR="00587FB0" w:rsidRPr="00E2047F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12 mg</w:t>
            </w:r>
          </w:p>
        </w:tc>
      </w:tr>
      <w:tr w:rsidR="00587FB0" w14:paraId="2146C984" w14:textId="77777777" w:rsidTr="00423959">
        <w:trPr>
          <w:trHeight w:val="300"/>
        </w:trPr>
        <w:tc>
          <w:tcPr>
            <w:tcW w:w="1975" w:type="dxa"/>
          </w:tcPr>
          <w:p w14:paraId="120D53DD" w14:textId="0B17B43B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181 – 220</w:t>
            </w:r>
          </w:p>
        </w:tc>
        <w:tc>
          <w:tcPr>
            <w:tcW w:w="2070" w:type="dxa"/>
          </w:tcPr>
          <w:p w14:paraId="2456FBFC" w14:textId="567F8E92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10.1 – 12.2</w:t>
            </w:r>
          </w:p>
        </w:tc>
        <w:tc>
          <w:tcPr>
            <w:tcW w:w="1350" w:type="dxa"/>
          </w:tcPr>
          <w:p w14:paraId="380DBCF4" w14:textId="77846AC4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9 mg</w:t>
            </w:r>
          </w:p>
        </w:tc>
        <w:tc>
          <w:tcPr>
            <w:tcW w:w="1440" w:type="dxa"/>
          </w:tcPr>
          <w:p w14:paraId="02169E48" w14:textId="72D82A33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10.5 mg</w:t>
            </w:r>
          </w:p>
        </w:tc>
        <w:tc>
          <w:tcPr>
            <w:tcW w:w="1530" w:type="dxa"/>
          </w:tcPr>
          <w:p w14:paraId="38C2E821" w14:textId="06223BDA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12 mg</w:t>
            </w:r>
          </w:p>
        </w:tc>
        <w:tc>
          <w:tcPr>
            <w:tcW w:w="1350" w:type="dxa"/>
          </w:tcPr>
          <w:p w14:paraId="285007C5" w14:textId="479CE2E4" w:rsidR="00587FB0" w:rsidRPr="00E2047F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13.5 mg</w:t>
            </w:r>
          </w:p>
        </w:tc>
      </w:tr>
      <w:tr w:rsidR="00587FB0" w14:paraId="1B35F6B3" w14:textId="77777777" w:rsidTr="00423959">
        <w:trPr>
          <w:trHeight w:val="300"/>
        </w:trPr>
        <w:tc>
          <w:tcPr>
            <w:tcW w:w="1975" w:type="dxa"/>
            <w:tcBorders>
              <w:bottom w:val="single" w:sz="4" w:space="0" w:color="auto"/>
            </w:tcBorders>
          </w:tcPr>
          <w:p w14:paraId="33AD823A" w14:textId="0EE886CE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&gt;220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2269CA88" w14:textId="2644F1EE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&gt;12.2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F8B869E" w14:textId="209CCD91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12 mg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B8329E" w14:textId="2CA663B5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13.5 mg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37A9B5C" w14:textId="1DB6A6D9" w:rsidR="00587FB0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15 mg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1A6E899" w14:textId="05B8FE47" w:rsidR="00587FB0" w:rsidRPr="00E2047F" w:rsidRDefault="00587FB0" w:rsidP="00587FB0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16.5 mg</w:t>
            </w:r>
          </w:p>
        </w:tc>
      </w:tr>
    </w:tbl>
    <w:p w14:paraId="58E2E189" w14:textId="6363553E" w:rsidR="00841B3C" w:rsidRDefault="00B9674E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proofErr w:type="spellStart"/>
      <w:r w:rsidRPr="00E2047F">
        <w:rPr>
          <w:rFonts w:ascii="Arial" w:eastAsia="TimesNewRoman" w:hAnsi="Arial" w:cs="Arial"/>
          <w:vertAlign w:val="superscript"/>
        </w:rPr>
        <w:t>a</w:t>
      </w:r>
      <w:proofErr w:type="spellEnd"/>
      <w:r w:rsidRPr="00841B3C">
        <w:rPr>
          <w:rFonts w:ascii="Arial" w:eastAsia="TimesNewRoman" w:hAnsi="Arial" w:cs="Arial"/>
        </w:rPr>
        <w:t xml:space="preserve"> </w:t>
      </w:r>
      <w:proofErr w:type="gramStart"/>
      <w:r w:rsidRPr="00841B3C">
        <w:rPr>
          <w:rFonts w:ascii="Arial" w:eastAsia="TimesNewRoman" w:hAnsi="Arial" w:cs="Arial"/>
        </w:rPr>
        <w:t>The</w:t>
      </w:r>
      <w:proofErr w:type="gramEnd"/>
      <w:r w:rsidRPr="00841B3C">
        <w:rPr>
          <w:rFonts w:ascii="Arial" w:eastAsia="TimesNewRoman" w:hAnsi="Arial" w:cs="Arial"/>
        </w:rPr>
        <w:t xml:space="preserve"> initial dose reflects the 3-fold increase needed to reduce the time to target glycemic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response and should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ONLY be administered once at Visit 3.</w:t>
      </w:r>
    </w:p>
    <w:p w14:paraId="74CA1BC3" w14:textId="08980BCB" w:rsidR="00F748AA" w:rsidRPr="00B9674E" w:rsidRDefault="00F748AA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E2047F">
        <w:rPr>
          <w:rFonts w:ascii="Arial" w:eastAsia="TimesNewRoman" w:hAnsi="Arial" w:cs="Arial"/>
          <w:vertAlign w:val="superscript"/>
        </w:rPr>
        <w:t>b</w:t>
      </w:r>
      <w:r w:rsidRPr="00841B3C">
        <w:rPr>
          <w:rFonts w:ascii="Arial" w:eastAsia="TimesNewRoman" w:hAnsi="Arial" w:cs="Arial"/>
        </w:rPr>
        <w:t xml:space="preserve"> Conversions from mg/dL to mmol/L were rounded off to prevent overlap between threshold ranges and to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address that the glucose meter displays 1 significant digit after the decimal when reporting mmol/L readings.</w:t>
      </w:r>
    </w:p>
    <w:p w14:paraId="46D9B370" w14:textId="57811C28" w:rsidR="00841B3C" w:rsidRPr="00841B3C" w:rsidRDefault="00841B3C" w:rsidP="00E2047F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</w:p>
    <w:p w14:paraId="0EAEF2D2" w14:textId="70B83C13" w:rsidR="00841B3C" w:rsidRPr="00E2047F" w:rsidRDefault="00E2047F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E2047F">
        <w:rPr>
          <w:rFonts w:ascii="Arial" w:eastAsia="TimesNewRoman" w:hAnsi="Arial" w:cs="Arial"/>
          <w:i/>
          <w:iCs/>
        </w:rPr>
        <w:t xml:space="preserve">Week 1, </w:t>
      </w:r>
      <w:r w:rsidR="00841B3C" w:rsidRPr="00E2047F">
        <w:rPr>
          <w:rFonts w:ascii="Arial" w:eastAsia="TimesNewRoman" w:hAnsi="Arial" w:cs="Arial"/>
          <w:i/>
          <w:iCs/>
        </w:rPr>
        <w:t>Visit 4</w:t>
      </w:r>
      <w:r w:rsidRPr="00E2047F">
        <w:rPr>
          <w:rFonts w:ascii="Arial" w:eastAsia="TimesNewRoman" w:hAnsi="Arial" w:cs="Arial"/>
          <w:i/>
          <w:iCs/>
        </w:rPr>
        <w:t>:</w:t>
      </w:r>
    </w:p>
    <w:p w14:paraId="671632FF" w14:textId="77777777" w:rsidR="00E2047F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Calculate the total weekly dose </w:t>
      </w:r>
      <w:r w:rsidR="00E2047F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mg from the dose administered at Visit 3</w:t>
      </w:r>
      <w:r w:rsidR="00E2047F"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(this is 1/3rd the dose administered at Visit 3)</w:t>
      </w:r>
    </w:p>
    <w:p w14:paraId="17C444F7" w14:textId="6A46EAD1" w:rsidR="00A61A24" w:rsidRDefault="00841B3C" w:rsidP="00E2047F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Use </w:t>
      </w:r>
      <w:r w:rsidR="00E2047F">
        <w:rPr>
          <w:rFonts w:ascii="Arial" w:eastAsia="TimesNewRoman" w:hAnsi="Arial" w:cs="Arial"/>
        </w:rPr>
        <w:t>the table below</w:t>
      </w:r>
      <w:r w:rsidRPr="00841B3C">
        <w:rPr>
          <w:rFonts w:ascii="Arial" w:eastAsia="TimesNewRoman" w:hAnsi="Arial" w:cs="Arial"/>
        </w:rPr>
        <w:t xml:space="preserve"> to determine the dose adjustment needed for Visit 5</w:t>
      </w:r>
      <w:r w:rsidR="00E2047F">
        <w:rPr>
          <w:rFonts w:ascii="Arial" w:eastAsia="TimesNewRoman" w:hAnsi="Arial" w:cs="Arial"/>
        </w:rPr>
        <w:t>.</w:t>
      </w:r>
    </w:p>
    <w:p w14:paraId="3DAB3FAC" w14:textId="77777777" w:rsidR="00A61A24" w:rsidRDefault="00A61A24">
      <w:pPr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br w:type="page"/>
      </w:r>
    </w:p>
    <w:p w14:paraId="554A538E" w14:textId="3F5F5D06" w:rsidR="00C81945" w:rsidRPr="0067220C" w:rsidRDefault="00CF6CEA" w:rsidP="00CF6CEA">
      <w:pPr>
        <w:autoSpaceDE w:val="0"/>
        <w:autoSpaceDN w:val="0"/>
        <w:adjustRightInd w:val="0"/>
        <w:spacing w:after="0" w:line="240" w:lineRule="auto"/>
        <w:ind w:left="-450"/>
        <w:rPr>
          <w:rFonts w:ascii="Arial" w:eastAsia="TimesNewRoman" w:hAnsi="Arial" w:cs="Arial"/>
          <w:i/>
          <w:iCs/>
          <w:sz w:val="24"/>
          <w:szCs w:val="24"/>
        </w:rPr>
      </w:pPr>
      <w:r w:rsidRPr="0067220C">
        <w:rPr>
          <w:rFonts w:ascii="Arial" w:eastAsia="TimesNewRoman" w:hAnsi="Arial" w:cs="Arial"/>
          <w:b/>
          <w:bCs/>
          <w:sz w:val="24"/>
          <w:szCs w:val="24"/>
        </w:rPr>
        <w:lastRenderedPageBreak/>
        <w:t>Weekly Dose Adjustment of BIF using the Previous Week’s dose (D), Median Fasting Glucose and Hypoglycemic Episodes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2160"/>
        <w:gridCol w:w="2340"/>
        <w:gridCol w:w="1440"/>
        <w:gridCol w:w="1440"/>
        <w:gridCol w:w="1530"/>
        <w:gridCol w:w="1530"/>
      </w:tblGrid>
      <w:tr w:rsidR="00731958" w14:paraId="1BD0704C" w14:textId="77777777" w:rsidTr="00FA6D02">
        <w:trPr>
          <w:trHeight w:val="570"/>
        </w:trPr>
        <w:tc>
          <w:tcPr>
            <w:tcW w:w="2160" w:type="dxa"/>
            <w:tcBorders>
              <w:bottom w:val="nil"/>
            </w:tcBorders>
            <w:vAlign w:val="bottom"/>
          </w:tcPr>
          <w:p w14:paraId="3F6AFA08" w14:textId="314CEF79" w:rsidR="00731958" w:rsidRPr="00841B3C" w:rsidRDefault="00731958" w:rsidP="00CF05E6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Median Fasting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Glucose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(mg/</w:t>
            </w:r>
            <w:proofErr w:type="gramStart"/>
            <w:r w:rsidRPr="00841B3C">
              <w:rPr>
                <w:rFonts w:ascii="Arial" w:eastAsia="TimesNewRoman,Bold" w:hAnsi="Arial" w:cs="Arial"/>
                <w:b/>
                <w:bCs/>
              </w:rPr>
              <w:t>dL)</w:t>
            </w:r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a</w:t>
            </w:r>
            <w:proofErr w:type="gramEnd"/>
          </w:p>
        </w:tc>
        <w:tc>
          <w:tcPr>
            <w:tcW w:w="2340" w:type="dxa"/>
            <w:tcBorders>
              <w:bottom w:val="nil"/>
            </w:tcBorders>
            <w:vAlign w:val="bottom"/>
          </w:tcPr>
          <w:p w14:paraId="0606D190" w14:textId="6F8BCA00" w:rsidR="00731958" w:rsidRPr="00841B3C" w:rsidRDefault="00731958" w:rsidP="00CF05E6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Median Fasting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Glucose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(mmol/</w:t>
            </w:r>
            <w:proofErr w:type="gramStart"/>
            <w:r w:rsidRPr="00841B3C">
              <w:rPr>
                <w:rFonts w:ascii="Arial" w:eastAsia="TimesNewRoman,Bold" w:hAnsi="Arial" w:cs="Arial"/>
                <w:b/>
                <w:bCs/>
              </w:rPr>
              <w:t>L)</w:t>
            </w:r>
            <w:proofErr w:type="spellStart"/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a</w:t>
            </w:r>
            <w:proofErr w:type="gramEnd"/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,e</w:t>
            </w:r>
            <w:proofErr w:type="spellEnd"/>
          </w:p>
        </w:tc>
        <w:tc>
          <w:tcPr>
            <w:tcW w:w="1440" w:type="dxa"/>
            <w:tcBorders>
              <w:bottom w:val="nil"/>
            </w:tcBorders>
          </w:tcPr>
          <w:p w14:paraId="4EA22DD2" w14:textId="37E69C65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Week 1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(Visit 4)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</w:p>
        </w:tc>
        <w:tc>
          <w:tcPr>
            <w:tcW w:w="1440" w:type="dxa"/>
            <w:tcBorders>
              <w:bottom w:val="nil"/>
            </w:tcBorders>
          </w:tcPr>
          <w:p w14:paraId="3EC4A715" w14:textId="0CBAF5F1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Week 2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(Visit 5)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bottom w:val="nil"/>
              <w:right w:val="nil"/>
            </w:tcBorders>
            <w:vAlign w:val="center"/>
          </w:tcPr>
          <w:p w14:paraId="194AA9A5" w14:textId="7CA4BEF8" w:rsidR="00731958" w:rsidRPr="00841B3C" w:rsidRDefault="00411D82" w:rsidP="00FA6D02">
            <w:pPr>
              <w:autoSpaceDE w:val="0"/>
              <w:autoSpaceDN w:val="0"/>
              <w:adjustRightInd w:val="0"/>
              <w:jc w:val="right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Subsequent</w:t>
            </w:r>
          </w:p>
        </w:tc>
        <w:tc>
          <w:tcPr>
            <w:tcW w:w="1530" w:type="dxa"/>
            <w:tcBorders>
              <w:left w:val="nil"/>
              <w:bottom w:val="nil"/>
            </w:tcBorders>
            <w:vAlign w:val="center"/>
          </w:tcPr>
          <w:p w14:paraId="605AF0B0" w14:textId="0444CB67" w:rsidR="00731958" w:rsidRPr="00841B3C" w:rsidRDefault="00411D82" w:rsidP="00FA6D02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proofErr w:type="spellStart"/>
            <w:r w:rsidRPr="00841B3C">
              <w:rPr>
                <w:rFonts w:ascii="Arial" w:eastAsia="TimesNewRoman,Bold" w:hAnsi="Arial" w:cs="Arial"/>
                <w:b/>
                <w:bCs/>
              </w:rPr>
              <w:t>Week</w:t>
            </w:r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c</w:t>
            </w:r>
            <w:proofErr w:type="spellEnd"/>
          </w:p>
        </w:tc>
      </w:tr>
      <w:tr w:rsidR="00731958" w14:paraId="4E5CCBBB" w14:textId="77777777" w:rsidTr="00282913">
        <w:trPr>
          <w:trHeight w:val="351"/>
        </w:trPr>
        <w:tc>
          <w:tcPr>
            <w:tcW w:w="2160" w:type="dxa"/>
            <w:tcBorders>
              <w:top w:val="nil"/>
            </w:tcBorders>
          </w:tcPr>
          <w:p w14:paraId="34BDD089" w14:textId="7B21D210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14:paraId="70F5DFB3" w14:textId="612FA034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2393BE41" w14:textId="0BC304FC" w:rsidR="00731958" w:rsidRPr="00841B3C" w:rsidRDefault="00FF19DA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2nd dose</w:t>
            </w:r>
          </w:p>
        </w:tc>
        <w:tc>
          <w:tcPr>
            <w:tcW w:w="1440" w:type="dxa"/>
            <w:tcBorders>
              <w:top w:val="nil"/>
            </w:tcBorders>
          </w:tcPr>
          <w:p w14:paraId="75F69090" w14:textId="2DDF82AE" w:rsidR="00731958" w:rsidRPr="00841B3C" w:rsidRDefault="00FF19DA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3rd dose</w:t>
            </w:r>
          </w:p>
        </w:tc>
        <w:tc>
          <w:tcPr>
            <w:tcW w:w="1530" w:type="dxa"/>
            <w:tcBorders>
              <w:top w:val="nil"/>
            </w:tcBorders>
          </w:tcPr>
          <w:p w14:paraId="0F14D30F" w14:textId="2CDD7CD2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Dose ≤5 mg</w:t>
            </w:r>
          </w:p>
        </w:tc>
        <w:tc>
          <w:tcPr>
            <w:tcW w:w="1530" w:type="dxa"/>
            <w:tcBorders>
              <w:top w:val="nil"/>
            </w:tcBorders>
          </w:tcPr>
          <w:p w14:paraId="2CF1ABE9" w14:textId="480A6146" w:rsidR="00731958" w:rsidRPr="00841B3C" w:rsidRDefault="00731958" w:rsidP="00731958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Dose &gt;5 mg</w:t>
            </w:r>
          </w:p>
        </w:tc>
      </w:tr>
      <w:tr w:rsidR="00C81945" w14:paraId="34FEB61F" w14:textId="77777777" w:rsidTr="00411D82">
        <w:tc>
          <w:tcPr>
            <w:tcW w:w="2160" w:type="dxa"/>
          </w:tcPr>
          <w:p w14:paraId="0B218B85" w14:textId="31FDCACA" w:rsidR="00C81945" w:rsidRDefault="00C81945" w:rsidP="009D7517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&lt;80 mg/dL or</w:t>
            </w:r>
            <w:r w:rsidR="009D7517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have any nocturnal</w:t>
            </w:r>
            <w:r w:rsidR="009D7517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 or</w:t>
            </w:r>
            <w:r w:rsidR="00E922B0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multiple episodes of</w:t>
            </w:r>
            <w:r w:rsidR="00E922B0">
              <w:rPr>
                <w:rFonts w:ascii="Arial" w:eastAsia="TimesNewRoman" w:hAnsi="Arial" w:cs="Arial"/>
              </w:rPr>
              <w:t xml:space="preserve"> </w:t>
            </w:r>
            <w:proofErr w:type="spellStart"/>
            <w:r w:rsidRPr="00841B3C">
              <w:rPr>
                <w:rFonts w:ascii="Arial" w:eastAsia="TimesNewRoman" w:hAnsi="Arial" w:cs="Arial"/>
              </w:rPr>
              <w:t>hypoglycemia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d</w:t>
            </w:r>
            <w:proofErr w:type="spellEnd"/>
          </w:p>
        </w:tc>
        <w:tc>
          <w:tcPr>
            <w:tcW w:w="2340" w:type="dxa"/>
          </w:tcPr>
          <w:p w14:paraId="20F2213E" w14:textId="2C555796" w:rsidR="00C81945" w:rsidRDefault="00C81945" w:rsidP="009D7517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&lt;4.4 mmol/L or</w:t>
            </w:r>
            <w:r w:rsidR="009D7517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have any nocturnal</w:t>
            </w:r>
            <w:r w:rsidR="009D7517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 or</w:t>
            </w:r>
            <w:r w:rsidR="00D37BAB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multiple episodes of</w:t>
            </w:r>
            <w:r w:rsidR="00D37BAB">
              <w:rPr>
                <w:rFonts w:ascii="Arial" w:eastAsia="TimesNewRoman" w:hAnsi="Arial" w:cs="Arial"/>
              </w:rPr>
              <w:t xml:space="preserve"> </w:t>
            </w:r>
            <w:proofErr w:type="spellStart"/>
            <w:r w:rsidRPr="00841B3C">
              <w:rPr>
                <w:rFonts w:ascii="Arial" w:eastAsia="TimesNewRoman" w:hAnsi="Arial" w:cs="Arial"/>
              </w:rPr>
              <w:t>hypoglycemia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d</w:t>
            </w:r>
            <w:proofErr w:type="spellEnd"/>
          </w:p>
        </w:tc>
        <w:tc>
          <w:tcPr>
            <w:tcW w:w="1440" w:type="dxa"/>
          </w:tcPr>
          <w:p w14:paraId="03F21CA5" w14:textId="46E42962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1.5 mg</w:t>
            </w:r>
          </w:p>
        </w:tc>
        <w:tc>
          <w:tcPr>
            <w:tcW w:w="1440" w:type="dxa"/>
          </w:tcPr>
          <w:p w14:paraId="7A41A69A" w14:textId="5E521D6C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1.5 mg</w:t>
            </w:r>
          </w:p>
        </w:tc>
        <w:tc>
          <w:tcPr>
            <w:tcW w:w="1530" w:type="dxa"/>
          </w:tcPr>
          <w:p w14:paraId="43A158C8" w14:textId="16F9519F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– 1.5 mg</w:t>
            </w:r>
          </w:p>
        </w:tc>
        <w:tc>
          <w:tcPr>
            <w:tcW w:w="1530" w:type="dxa"/>
          </w:tcPr>
          <w:p w14:paraId="1FD7CDCB" w14:textId="40856D32" w:rsidR="00C81945" w:rsidRDefault="00C81945" w:rsidP="009D7517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– 2 mg</w:t>
            </w:r>
          </w:p>
        </w:tc>
      </w:tr>
      <w:tr w:rsidR="00C81945" w14:paraId="0207159B" w14:textId="77777777" w:rsidTr="00411D82">
        <w:tc>
          <w:tcPr>
            <w:tcW w:w="2160" w:type="dxa"/>
          </w:tcPr>
          <w:p w14:paraId="2A9D80C8" w14:textId="62D98071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 xml:space="preserve">80 – 100 </w:t>
            </w:r>
          </w:p>
        </w:tc>
        <w:tc>
          <w:tcPr>
            <w:tcW w:w="2340" w:type="dxa"/>
          </w:tcPr>
          <w:p w14:paraId="77623100" w14:textId="77B746AB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4.4 – 5.5</w:t>
            </w:r>
          </w:p>
        </w:tc>
        <w:tc>
          <w:tcPr>
            <w:tcW w:w="1440" w:type="dxa"/>
          </w:tcPr>
          <w:p w14:paraId="0CFEBD9F" w14:textId="482E93A3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 mg</w:t>
            </w:r>
          </w:p>
        </w:tc>
        <w:tc>
          <w:tcPr>
            <w:tcW w:w="1440" w:type="dxa"/>
          </w:tcPr>
          <w:p w14:paraId="23BD308A" w14:textId="6EDBBDFA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0.5 mg</w:t>
            </w:r>
          </w:p>
        </w:tc>
        <w:tc>
          <w:tcPr>
            <w:tcW w:w="1530" w:type="dxa"/>
          </w:tcPr>
          <w:p w14:paraId="2BFBE551" w14:textId="26E70982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530" w:type="dxa"/>
          </w:tcPr>
          <w:p w14:paraId="79991D54" w14:textId="16DAAC0E" w:rsidR="00C81945" w:rsidRPr="00E23608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</w:tr>
      <w:tr w:rsidR="00C81945" w14:paraId="57340F0D" w14:textId="77777777" w:rsidTr="00411D82">
        <w:tc>
          <w:tcPr>
            <w:tcW w:w="2160" w:type="dxa"/>
          </w:tcPr>
          <w:p w14:paraId="64D498F9" w14:textId="27DDB5F7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 xml:space="preserve">101 – 140 </w:t>
            </w:r>
          </w:p>
        </w:tc>
        <w:tc>
          <w:tcPr>
            <w:tcW w:w="2340" w:type="dxa"/>
          </w:tcPr>
          <w:p w14:paraId="4AFD751B" w14:textId="1EF25C97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5.6 – 7.7</w:t>
            </w:r>
          </w:p>
        </w:tc>
        <w:tc>
          <w:tcPr>
            <w:tcW w:w="1440" w:type="dxa"/>
          </w:tcPr>
          <w:p w14:paraId="788265D2" w14:textId="291B3F03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440" w:type="dxa"/>
          </w:tcPr>
          <w:p w14:paraId="3D892166" w14:textId="57FD6E0B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530" w:type="dxa"/>
          </w:tcPr>
          <w:p w14:paraId="50D3267D" w14:textId="3EC62FBA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+ 0.25 mg</w:t>
            </w:r>
          </w:p>
        </w:tc>
        <w:tc>
          <w:tcPr>
            <w:tcW w:w="1530" w:type="dxa"/>
          </w:tcPr>
          <w:p w14:paraId="4F785A7B" w14:textId="653AABB8" w:rsidR="00C81945" w:rsidRPr="00E23608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+ 0.5 mg</w:t>
            </w:r>
          </w:p>
        </w:tc>
      </w:tr>
      <w:tr w:rsidR="00C81945" w14:paraId="0FD13774" w14:textId="77777777" w:rsidTr="00411D82">
        <w:tc>
          <w:tcPr>
            <w:tcW w:w="2160" w:type="dxa"/>
          </w:tcPr>
          <w:p w14:paraId="033254EC" w14:textId="504EDB7E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141 – 180</w:t>
            </w:r>
          </w:p>
        </w:tc>
        <w:tc>
          <w:tcPr>
            <w:tcW w:w="2340" w:type="dxa"/>
          </w:tcPr>
          <w:p w14:paraId="3CF08421" w14:textId="0727909D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7.8 – 10.0</w:t>
            </w:r>
          </w:p>
        </w:tc>
        <w:tc>
          <w:tcPr>
            <w:tcW w:w="1440" w:type="dxa"/>
          </w:tcPr>
          <w:p w14:paraId="7209A7C6" w14:textId="55E1E820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+ 3 mg</w:t>
            </w:r>
          </w:p>
        </w:tc>
        <w:tc>
          <w:tcPr>
            <w:tcW w:w="1440" w:type="dxa"/>
          </w:tcPr>
          <w:p w14:paraId="77765A33" w14:textId="706A98B7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+ 1.5 mg</w:t>
            </w:r>
          </w:p>
        </w:tc>
        <w:tc>
          <w:tcPr>
            <w:tcW w:w="1530" w:type="dxa"/>
          </w:tcPr>
          <w:p w14:paraId="126F5FB9" w14:textId="4B3F3CE2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+ 0.5 mg</w:t>
            </w:r>
          </w:p>
        </w:tc>
        <w:tc>
          <w:tcPr>
            <w:tcW w:w="1530" w:type="dxa"/>
          </w:tcPr>
          <w:p w14:paraId="55B80629" w14:textId="456C425C" w:rsidR="00C81945" w:rsidRPr="00E23608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+ 1 m</w:t>
            </w:r>
          </w:p>
        </w:tc>
      </w:tr>
      <w:tr w:rsidR="00C81945" w14:paraId="1AAB54B4" w14:textId="77777777" w:rsidTr="00411D82">
        <w:tc>
          <w:tcPr>
            <w:tcW w:w="2160" w:type="dxa"/>
            <w:tcBorders>
              <w:bottom w:val="single" w:sz="4" w:space="0" w:color="auto"/>
            </w:tcBorders>
          </w:tcPr>
          <w:p w14:paraId="68490779" w14:textId="14C361A7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&gt;180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4B09ED9" w14:textId="69DAF763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CAC845" w14:textId="106ADF89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+ 5 mg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71C5F2" w14:textId="5C982F4D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+ 3 mg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3C3CEAC" w14:textId="623CADE7" w:rsidR="00C81945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+ 0.75 mg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DC7CC4" w14:textId="70C57366" w:rsidR="00C81945" w:rsidRPr="00E23608" w:rsidRDefault="00C81945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+ 1.5 mg</w:t>
            </w:r>
          </w:p>
        </w:tc>
      </w:tr>
    </w:tbl>
    <w:p w14:paraId="0DC0B3C9" w14:textId="77777777" w:rsidR="00C173FF" w:rsidRPr="007C34D4" w:rsidRDefault="00F85B7A" w:rsidP="00C63744">
      <w:pPr>
        <w:autoSpaceDE w:val="0"/>
        <w:autoSpaceDN w:val="0"/>
        <w:adjustRightInd w:val="0"/>
        <w:spacing w:after="0" w:line="240" w:lineRule="auto"/>
        <w:ind w:left="-360"/>
        <w:rPr>
          <w:rFonts w:ascii="Arial" w:eastAsia="TimesNewRoman" w:hAnsi="Arial" w:cs="Arial"/>
        </w:rPr>
      </w:pPr>
      <w:r w:rsidRPr="007C34D4">
        <w:rPr>
          <w:rFonts w:ascii="Arial" w:eastAsia="TimesNewRoman" w:hAnsi="Arial" w:cs="Arial"/>
          <w:vertAlign w:val="superscript"/>
        </w:rPr>
        <w:t>a</w:t>
      </w:r>
      <w:r w:rsidRPr="007C34D4">
        <w:rPr>
          <w:rFonts w:ascii="Arial" w:eastAsia="TimesNewRoman" w:hAnsi="Arial" w:cs="Arial"/>
        </w:rPr>
        <w:t xml:space="preserve"> Based on median fasting glucose from at least 3 fasting </w:t>
      </w:r>
      <w:proofErr w:type="gramStart"/>
      <w:r w:rsidRPr="007C34D4">
        <w:rPr>
          <w:rFonts w:ascii="Arial" w:eastAsia="TimesNewRoman" w:hAnsi="Arial" w:cs="Arial"/>
        </w:rPr>
        <w:t>glucose</w:t>
      </w:r>
      <w:proofErr w:type="gramEnd"/>
      <w:r w:rsidRPr="007C34D4">
        <w:rPr>
          <w:rFonts w:ascii="Arial" w:eastAsia="TimesNewRoman" w:hAnsi="Arial" w:cs="Arial"/>
        </w:rPr>
        <w:t xml:space="preserve"> from previous week</w:t>
      </w:r>
      <w:r w:rsidR="007C0F51" w:rsidRPr="007C34D4">
        <w:rPr>
          <w:rFonts w:ascii="Arial" w:eastAsia="TimesNewRoman" w:hAnsi="Arial" w:cs="Arial"/>
        </w:rPr>
        <w:t>.</w:t>
      </w:r>
    </w:p>
    <w:p w14:paraId="208BF829" w14:textId="3A70A041" w:rsidR="00EC148C" w:rsidRPr="007C34D4" w:rsidRDefault="00F85B7A" w:rsidP="00C63744">
      <w:pPr>
        <w:autoSpaceDE w:val="0"/>
        <w:autoSpaceDN w:val="0"/>
        <w:adjustRightInd w:val="0"/>
        <w:spacing w:after="0" w:line="240" w:lineRule="auto"/>
        <w:ind w:left="-360"/>
        <w:rPr>
          <w:rFonts w:ascii="Arial" w:eastAsia="TimesNewRoman" w:hAnsi="Arial" w:cs="Arial"/>
        </w:rPr>
      </w:pPr>
      <w:r w:rsidRPr="007C34D4">
        <w:rPr>
          <w:rFonts w:ascii="Arial" w:eastAsia="TimesNewRoman" w:hAnsi="Arial" w:cs="Arial"/>
          <w:vertAlign w:val="superscript"/>
        </w:rPr>
        <w:t>b</w:t>
      </w:r>
      <w:r w:rsidRPr="007C34D4">
        <w:rPr>
          <w:rFonts w:ascii="Arial" w:eastAsia="TimesNewRoman" w:hAnsi="Arial" w:cs="Arial"/>
        </w:rPr>
        <w:t xml:space="preserve"> D for Week 1 (Visit 4) was 1/3 of the initial dose. D for Week 2 (Visit 5) was Week 1 (Visit 4) dose.</w:t>
      </w:r>
    </w:p>
    <w:p w14:paraId="25939A8A" w14:textId="4BD0B3BB" w:rsidR="00F85B7A" w:rsidRPr="007C34D4" w:rsidRDefault="00F85B7A" w:rsidP="00C63744">
      <w:pPr>
        <w:autoSpaceDE w:val="0"/>
        <w:autoSpaceDN w:val="0"/>
        <w:adjustRightInd w:val="0"/>
        <w:spacing w:after="0" w:line="240" w:lineRule="auto"/>
        <w:ind w:left="-180" w:hanging="180"/>
        <w:rPr>
          <w:rFonts w:ascii="Arial" w:eastAsia="TimesNewRoman" w:hAnsi="Arial" w:cs="Arial"/>
        </w:rPr>
      </w:pPr>
      <w:r w:rsidRPr="007C34D4">
        <w:rPr>
          <w:rFonts w:ascii="Arial" w:eastAsia="TimesNewRoman" w:hAnsi="Arial" w:cs="Arial"/>
          <w:vertAlign w:val="superscript"/>
        </w:rPr>
        <w:t>c</w:t>
      </w:r>
      <w:r w:rsidRPr="007C34D4">
        <w:rPr>
          <w:rFonts w:ascii="Arial" w:eastAsia="TimesNewRoman" w:hAnsi="Arial" w:cs="Arial"/>
        </w:rPr>
        <w:t xml:space="preserve"> BIF dose adjustment starting at Week 3 (Visit 6) depended on whether previous (Week 2) dose (D) was</w:t>
      </w:r>
      <w:r w:rsidR="009D7517" w:rsidRPr="007C34D4">
        <w:rPr>
          <w:rFonts w:ascii="Arial" w:eastAsia="TimesNewRoman" w:hAnsi="Arial" w:cs="Arial"/>
        </w:rPr>
        <w:t xml:space="preserve"> </w:t>
      </w:r>
      <w:r w:rsidRPr="007C34D4">
        <w:rPr>
          <w:rFonts w:ascii="Arial" w:eastAsia="TimesNewRoman" w:hAnsi="Arial" w:cs="Arial"/>
        </w:rPr>
        <w:t>≤5 mg or &gt;5 mg and was adjusted weekly up to Week 12 (Visit 15), then at Week 16 (Visit 17), Week 20 (Visit 18), and Week 24 (Visit 19).</w:t>
      </w:r>
    </w:p>
    <w:p w14:paraId="4CD85B78" w14:textId="28D115E7" w:rsidR="00F85B7A" w:rsidRPr="007C34D4" w:rsidRDefault="00F85B7A" w:rsidP="00C63744">
      <w:pPr>
        <w:autoSpaceDE w:val="0"/>
        <w:autoSpaceDN w:val="0"/>
        <w:adjustRightInd w:val="0"/>
        <w:spacing w:after="0" w:line="240" w:lineRule="auto"/>
        <w:ind w:left="-180" w:hanging="180"/>
        <w:rPr>
          <w:rFonts w:ascii="Arial" w:eastAsia="TimesNewRoman" w:hAnsi="Arial" w:cs="Arial"/>
        </w:rPr>
      </w:pPr>
      <w:r w:rsidRPr="007C34D4">
        <w:rPr>
          <w:rFonts w:ascii="Arial" w:eastAsia="TimesNewRoman" w:hAnsi="Arial" w:cs="Arial"/>
          <w:vertAlign w:val="superscript"/>
        </w:rPr>
        <w:t>d</w:t>
      </w:r>
      <w:r w:rsidRPr="007C34D4">
        <w:rPr>
          <w:rFonts w:ascii="Arial" w:eastAsia="TimesNewRoman" w:hAnsi="Arial" w:cs="Arial"/>
        </w:rPr>
        <w:t xml:space="preserve"> The BIF dose was not increased if any SMBG reading was documented at ≤70 mg/dL (&lt;3.9 mmol/L) at any time in the preceding week. If multiple episodes of hypoglycemia with SMBG ≤70 mg/dL (&lt;3.9 mmol/L) were recorded, guidance for dose reduction according to the applicable Visit number followed. Dose decreases of 1 mg were made when severe hypoglycemia (requiring assistance) occurred, or if any SMBG was documented at ≤54 mg/dL (≤3.0 mmol/L) in the preceding week.</w:t>
      </w:r>
    </w:p>
    <w:p w14:paraId="2339EB1A" w14:textId="77777777" w:rsidR="00F85B7A" w:rsidRPr="007C34D4" w:rsidRDefault="00F85B7A" w:rsidP="00C63744">
      <w:pPr>
        <w:autoSpaceDE w:val="0"/>
        <w:autoSpaceDN w:val="0"/>
        <w:adjustRightInd w:val="0"/>
        <w:spacing w:after="0" w:line="240" w:lineRule="auto"/>
        <w:ind w:left="-180" w:hanging="180"/>
        <w:rPr>
          <w:rFonts w:ascii="Arial" w:eastAsia="TimesNewRoman" w:hAnsi="Arial" w:cs="Arial"/>
        </w:rPr>
      </w:pPr>
      <w:r w:rsidRPr="007C34D4">
        <w:rPr>
          <w:rFonts w:ascii="Arial" w:eastAsia="TimesNewRoman" w:hAnsi="Arial" w:cs="Arial"/>
          <w:vertAlign w:val="superscript"/>
        </w:rPr>
        <w:t>e</w:t>
      </w:r>
      <w:r w:rsidRPr="007C34D4">
        <w:rPr>
          <w:rFonts w:ascii="Arial" w:eastAsia="TimesNewRoman" w:hAnsi="Arial" w:cs="Arial"/>
        </w:rPr>
        <w:t xml:space="preserve"> Conversions from mg/dL to mmol/L were rounded off to prevent overlap between threshold ranges and to address that the glucose meter displays 1 significant digit after the decimal when reporting mmol/L readings.</w:t>
      </w:r>
    </w:p>
    <w:p w14:paraId="4CC31B7B" w14:textId="77777777" w:rsidR="00C81945" w:rsidRPr="007C34D4" w:rsidRDefault="00C81945" w:rsidP="00F85B7A">
      <w:pPr>
        <w:autoSpaceDE w:val="0"/>
        <w:autoSpaceDN w:val="0"/>
        <w:adjustRightInd w:val="0"/>
        <w:spacing w:after="0" w:line="240" w:lineRule="auto"/>
        <w:ind w:left="-360"/>
        <w:rPr>
          <w:rFonts w:ascii="Arial" w:eastAsia="TimesNewRoman" w:hAnsi="Arial" w:cs="Arial"/>
          <w:sz w:val="24"/>
          <w:szCs w:val="24"/>
        </w:rPr>
      </w:pPr>
    </w:p>
    <w:p w14:paraId="21BD4484" w14:textId="0A43F09A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5A51ECEE" w14:textId="3690D478" w:rsidR="00841B3C" w:rsidRP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660ECB">
        <w:rPr>
          <w:rFonts w:ascii="Arial" w:eastAsia="TimesNewRoman" w:hAnsi="Arial" w:cs="Arial"/>
          <w:i/>
          <w:iCs/>
        </w:rPr>
        <w:t xml:space="preserve">Week 2, </w:t>
      </w:r>
      <w:r w:rsidR="00841B3C" w:rsidRPr="00660ECB">
        <w:rPr>
          <w:rFonts w:ascii="Arial" w:eastAsia="TimesNewRoman" w:hAnsi="Arial" w:cs="Arial"/>
          <w:i/>
          <w:iCs/>
        </w:rPr>
        <w:t>Visit 5</w:t>
      </w:r>
      <w:r w:rsidRPr="00660ECB">
        <w:rPr>
          <w:rFonts w:ascii="Arial" w:eastAsia="TimesNewRoman" w:hAnsi="Arial" w:cs="Arial"/>
          <w:i/>
          <w:iCs/>
        </w:rPr>
        <w:t>:</w:t>
      </w:r>
    </w:p>
    <w:p w14:paraId="13FB5821" w14:textId="7537DC63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 the dose of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mg administered at Visit 4.</w:t>
      </w:r>
    </w:p>
    <w:p w14:paraId="2B3E500E" w14:textId="3D726B74" w:rsidR="00841B3C" w:rsidRPr="00841B3C" w:rsidRDefault="00841B3C" w:rsidP="00660ECB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Use </w:t>
      </w:r>
      <w:r w:rsidR="00660ECB">
        <w:rPr>
          <w:rFonts w:ascii="Arial" w:eastAsia="TimesNewRoman" w:hAnsi="Arial" w:cs="Arial"/>
        </w:rPr>
        <w:t>the above table</w:t>
      </w:r>
      <w:r w:rsidRPr="00841B3C">
        <w:rPr>
          <w:rFonts w:ascii="Arial" w:eastAsia="TimesNewRoman" w:hAnsi="Arial" w:cs="Arial"/>
        </w:rPr>
        <w:t xml:space="preserve"> to determine the dose adjustment needed for Visit 5</w:t>
      </w:r>
      <w:r w:rsidR="00660ECB">
        <w:rPr>
          <w:rFonts w:ascii="Arial" w:eastAsia="TimesNewRoman" w:hAnsi="Arial" w:cs="Arial"/>
        </w:rPr>
        <w:t>.</w:t>
      </w:r>
      <w:r w:rsidRPr="00841B3C">
        <w:rPr>
          <w:rFonts w:ascii="Arial" w:eastAsia="TimesNewRoman" w:hAnsi="Arial" w:cs="Arial"/>
        </w:rPr>
        <w:t xml:space="preserve"> </w:t>
      </w:r>
    </w:p>
    <w:p w14:paraId="32D6444E" w14:textId="69910882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5BDDF744" w14:textId="753BAC83" w:rsidR="00841B3C" w:rsidRPr="00841B3C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  <w:bCs/>
        </w:rPr>
      </w:pPr>
      <w:r>
        <w:rPr>
          <w:rFonts w:ascii="Arial" w:eastAsia="TimesNewRoman" w:hAnsi="Arial" w:cs="Arial"/>
          <w:i/>
          <w:iCs/>
        </w:rPr>
        <w:t>Week 3</w:t>
      </w:r>
      <w:r w:rsidRPr="00660ECB">
        <w:rPr>
          <w:rFonts w:ascii="Arial" w:eastAsia="TimesNewRoman" w:hAnsi="Arial" w:cs="Arial"/>
          <w:i/>
          <w:iCs/>
        </w:rPr>
        <w:t xml:space="preserve">, </w:t>
      </w:r>
      <w:r w:rsidR="00841B3C" w:rsidRPr="00660ECB">
        <w:rPr>
          <w:rFonts w:ascii="Arial" w:eastAsia="TimesNewRoman" w:hAnsi="Arial" w:cs="Arial"/>
          <w:i/>
          <w:iCs/>
        </w:rPr>
        <w:t>Visit 6</w:t>
      </w:r>
      <w:r w:rsidRPr="00660ECB">
        <w:rPr>
          <w:rFonts w:ascii="Arial" w:eastAsia="TimesNewRoman" w:hAnsi="Arial" w:cs="Arial"/>
          <w:i/>
          <w:iCs/>
        </w:rPr>
        <w:t>:</w:t>
      </w:r>
    </w:p>
    <w:p w14:paraId="6D63D1D4" w14:textId="5BB81331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 the dose of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administered at Visit 5 (Week 2).</w:t>
      </w:r>
    </w:p>
    <w:p w14:paraId="36D60AE4" w14:textId="048EA81E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Use </w:t>
      </w:r>
      <w:r w:rsidR="00660ECB">
        <w:rPr>
          <w:rFonts w:ascii="Arial" w:eastAsia="TimesNewRoman" w:hAnsi="Arial" w:cs="Arial"/>
        </w:rPr>
        <w:t>the above table</w:t>
      </w:r>
      <w:r w:rsidRPr="00841B3C">
        <w:rPr>
          <w:rFonts w:ascii="Arial" w:eastAsia="TimesNewRoman" w:hAnsi="Arial" w:cs="Arial"/>
        </w:rPr>
        <w:t xml:space="preserve"> to determine the dose adjustment needed for Visit 6</w:t>
      </w:r>
      <w:r w:rsidR="00660ECB">
        <w:rPr>
          <w:rFonts w:ascii="Arial" w:eastAsia="TimesNewRoman" w:hAnsi="Arial" w:cs="Arial"/>
        </w:rPr>
        <w:t xml:space="preserve">. </w:t>
      </w:r>
      <w:r w:rsidRPr="00841B3C">
        <w:rPr>
          <w:rFonts w:ascii="Arial" w:eastAsia="TimesNewRoman" w:hAnsi="Arial" w:cs="Arial"/>
        </w:rPr>
        <w:t>Looking at the subsequent week column,</w:t>
      </w:r>
      <w:r w:rsidR="00660ECB"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apply the prior weekly dose information to the appropriate column (≤ 5 mg or &gt;5 mg) to</w:t>
      </w:r>
      <w:r w:rsidR="00660ECB"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obtain the dose increment.</w:t>
      </w:r>
    </w:p>
    <w:p w14:paraId="5A6CB603" w14:textId="6FD43ECB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7C85B27F" w14:textId="416CA3BC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Subsequent visits </w:t>
      </w:r>
      <w:r w:rsidR="00660ECB">
        <w:rPr>
          <w:rFonts w:ascii="Arial" w:eastAsia="TimesNewRoman" w:hAnsi="Arial" w:cs="Arial"/>
        </w:rPr>
        <w:t>were</w:t>
      </w:r>
      <w:r w:rsidRPr="00841B3C">
        <w:rPr>
          <w:rFonts w:ascii="Arial" w:eastAsia="TimesNewRoman" w:hAnsi="Arial" w:cs="Arial"/>
        </w:rPr>
        <w:t xml:space="preserve"> managed using the same approach as for Visit 6 (Week 3), always</w:t>
      </w:r>
    </w:p>
    <w:p w14:paraId="301DA17B" w14:textId="57A510E5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confirming the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dose administered at the prior visit, the median fasting glucose</w:t>
      </w:r>
    </w:p>
    <w:p w14:paraId="7BC8C286" w14:textId="1B971594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>during the week prior to the visits, and hypoglycemia status since the last dose of study drug.</w:t>
      </w:r>
    </w:p>
    <w:p w14:paraId="068F6341" w14:textId="77777777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</w:p>
    <w:p w14:paraId="063BD4F9" w14:textId="77777777" w:rsidR="00251F65" w:rsidRDefault="00251F65" w:rsidP="00251F65">
      <w:pPr>
        <w:autoSpaceDE w:val="0"/>
        <w:autoSpaceDN w:val="0"/>
        <w:adjustRightInd w:val="0"/>
        <w:spacing w:after="0" w:line="240" w:lineRule="auto"/>
        <w:ind w:left="-360"/>
        <w:rPr>
          <w:rFonts w:ascii="Arial" w:eastAsia="TimesNewRoman,Bold" w:hAnsi="Arial" w:cs="Arial"/>
          <w:b/>
          <w:bCs/>
        </w:rPr>
      </w:pPr>
    </w:p>
    <w:p w14:paraId="032798E8" w14:textId="77777777" w:rsidR="00A61A24" w:rsidRDefault="00A61A24">
      <w:pPr>
        <w:rPr>
          <w:rFonts w:ascii="Arial" w:eastAsia="TimesNewRoman,Bold" w:hAnsi="Arial" w:cs="Arial"/>
          <w:b/>
          <w:bCs/>
        </w:rPr>
      </w:pPr>
      <w:r>
        <w:rPr>
          <w:rFonts w:ascii="Arial" w:eastAsia="TimesNewRoman,Bold" w:hAnsi="Arial" w:cs="Arial"/>
          <w:b/>
          <w:bCs/>
        </w:rPr>
        <w:br w:type="page"/>
      </w:r>
    </w:p>
    <w:p w14:paraId="5FDB7C86" w14:textId="431120E4" w:rsidR="00841B3C" w:rsidRPr="009F4A2A" w:rsidRDefault="00841B3C" w:rsidP="00A61A24">
      <w:pPr>
        <w:autoSpaceDE w:val="0"/>
        <w:autoSpaceDN w:val="0"/>
        <w:adjustRightInd w:val="0"/>
        <w:spacing w:after="0" w:line="240" w:lineRule="auto"/>
        <w:ind w:left="-360"/>
        <w:rPr>
          <w:rFonts w:ascii="Arial" w:eastAsia="TimesNewRoman,Bold" w:hAnsi="Arial" w:cs="Arial"/>
          <w:b/>
          <w:bCs/>
        </w:rPr>
      </w:pPr>
      <w:r w:rsidRPr="009F4A2A">
        <w:rPr>
          <w:rFonts w:ascii="Arial" w:eastAsia="TimesNewRoman,Bold" w:hAnsi="Arial" w:cs="Arial"/>
          <w:b/>
          <w:bCs/>
        </w:rPr>
        <w:lastRenderedPageBreak/>
        <w:t>Insulin Degludec</w:t>
      </w:r>
      <w:r w:rsidR="00251F65" w:rsidRPr="009F4A2A">
        <w:rPr>
          <w:rFonts w:ascii="Arial" w:eastAsia="TimesNewRoman,Bold" w:hAnsi="Arial" w:cs="Arial"/>
          <w:b/>
          <w:bCs/>
        </w:rPr>
        <w:t xml:space="preserve"> Dosing </w:t>
      </w:r>
    </w:p>
    <w:p w14:paraId="270EC03B" w14:textId="77777777" w:rsidR="00251F65" w:rsidRPr="00A61A24" w:rsidRDefault="00251F65" w:rsidP="00251F65">
      <w:pPr>
        <w:rPr>
          <w:rFonts w:ascii="Arial" w:hAnsi="Arial" w:cs="Arial"/>
        </w:rPr>
      </w:pPr>
      <w:r w:rsidRPr="00A61A24">
        <w:rPr>
          <w:rFonts w:ascii="Arial" w:hAnsi="Arial" w:cs="Arial"/>
        </w:rPr>
        <w:t>The starting dose for insulin degludec for this study was 10 units.</w:t>
      </w:r>
    </w:p>
    <w:p w14:paraId="7BF1613C" w14:textId="77777777" w:rsidR="00251F65" w:rsidRPr="00A61A24" w:rsidRDefault="00251F65" w:rsidP="00251F65">
      <w:pPr>
        <w:rPr>
          <w:rFonts w:ascii="Arial" w:hAnsi="Arial" w:cs="Arial"/>
        </w:rPr>
      </w:pPr>
      <w:r w:rsidRPr="00A61A24">
        <w:rPr>
          <w:rFonts w:ascii="Arial" w:hAnsi="Arial" w:cs="Arial"/>
        </w:rPr>
        <w:t>The treat-to-target FBG is 80-100 mg/dL (4.4 to &lt;5.6 mmol/L).  Dosed adjustments based on FBG occurred approximately weekly consistent with specified protocol visits according to the table below.</w:t>
      </w:r>
    </w:p>
    <w:p w14:paraId="762C37C6" w14:textId="77777777" w:rsidR="00251F65" w:rsidRPr="00A61A24" w:rsidRDefault="00251F65" w:rsidP="00251F65">
      <w:pPr>
        <w:rPr>
          <w:rFonts w:ascii="Arial" w:hAnsi="Arial" w:cs="Arial"/>
        </w:rPr>
      </w:pPr>
      <w:r w:rsidRPr="00A61A24">
        <w:rPr>
          <w:rFonts w:ascii="Arial" w:hAnsi="Arial" w:cs="Arial"/>
        </w:rPr>
        <w:t xml:space="preserve">The insulin degludec dose should not have been increased if any SMBG was documented at ≤70 mg/dL (&lt;3.9 mmol/L) at any time in the preceding week. </w:t>
      </w:r>
    </w:p>
    <w:p w14:paraId="1964A63C" w14:textId="77777777" w:rsidR="00251F65" w:rsidRPr="00A61A24" w:rsidRDefault="00251F65" w:rsidP="00251F65">
      <w:pPr>
        <w:rPr>
          <w:rFonts w:ascii="Arial" w:hAnsi="Arial" w:cs="Arial"/>
        </w:rPr>
      </w:pPr>
      <w:r w:rsidRPr="00A61A24">
        <w:rPr>
          <w:rFonts w:ascii="Arial" w:hAnsi="Arial" w:cs="Arial"/>
        </w:rPr>
        <w:t>The insulin degludec dose increase was determined using the median of the FBG of the last 3 days.  If the patient only measured their FBG on 2 of the last 3 days, then the lesser of those 2 FBG values was to be used for dose assessment.  If only 1 FBG measurement is available for the last 3 days, then the investigator was to use his/her discretion in determining whether there should be a dose adjustment based on that single FBG value.</w:t>
      </w:r>
    </w:p>
    <w:p w14:paraId="454A16A6" w14:textId="77777777" w:rsidR="00251F65" w:rsidRPr="00A61A24" w:rsidRDefault="00251F65" w:rsidP="00251F65">
      <w:pPr>
        <w:rPr>
          <w:rFonts w:ascii="Arial" w:hAnsi="Arial" w:cs="Arial"/>
          <w:b/>
        </w:rPr>
      </w:pPr>
      <w:r w:rsidRPr="00A61A24">
        <w:rPr>
          <w:rFonts w:ascii="Arial" w:hAnsi="Arial" w:cs="Arial"/>
        </w:rPr>
        <w:t>Dose decreases of 2 to 4 U per adjustment were permitted if multiple episodes of hypoglycemia with SMBG ≤70 mg/dL (&lt;3.9 mmol/L) were recorded, if severe hypoglycemia (requiring assistance) occurred, or if any SMBG was documented at ≤54 mg/dL (≤3.0 mmol/L) in the preceding week.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2299"/>
        <w:gridCol w:w="2408"/>
        <w:gridCol w:w="4378"/>
      </w:tblGrid>
      <w:tr w:rsidR="00251F65" w:rsidRPr="009F4A2A" w14:paraId="32E37828" w14:textId="77777777" w:rsidTr="005F602C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395BFA" w14:textId="6E5AD374" w:rsidR="00251F65" w:rsidRPr="00B95633" w:rsidRDefault="00B95633" w:rsidP="005F602C">
            <w:pPr>
              <w:numPr>
                <w:ilvl w:val="12"/>
                <w:numId w:val="0"/>
              </w:num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If the median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A3B9E" w14:textId="0C239974" w:rsidR="00251F65" w:rsidRPr="00A61A24" w:rsidRDefault="00B95633" w:rsidP="0020676D">
            <w:pPr>
              <w:numPr>
                <w:ilvl w:val="12"/>
                <w:numId w:val="0"/>
              </w:numPr>
              <w:ind w:left="-7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FBG is</w:t>
            </w:r>
            <w:r w:rsidR="005F602C">
              <w:rPr>
                <w:rFonts w:ascii="Arial" w:hAnsi="Arial" w:cs="Arial"/>
                <w:b/>
              </w:rPr>
              <w:t>...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0645" w14:textId="5F130F83" w:rsidR="00251F65" w:rsidRPr="00A61A24" w:rsidRDefault="005F602C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Then</w:t>
            </w:r>
            <w:r w:rsidR="0020676D">
              <w:rPr>
                <w:rFonts w:ascii="Arial" w:hAnsi="Arial" w:cs="Arial"/>
                <w:b/>
              </w:rPr>
              <w:t>...</w:t>
            </w:r>
          </w:p>
        </w:tc>
      </w:tr>
      <w:tr w:rsidR="00E46BE4" w:rsidRPr="009F4A2A" w14:paraId="033F4D4B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1A7" w14:textId="351F8CC2" w:rsidR="00E46BE4" w:rsidRPr="00A61A24" w:rsidRDefault="00E46BE4" w:rsidP="00E46BE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A61A24">
              <w:rPr>
                <w:rFonts w:ascii="Arial" w:hAnsi="Arial" w:cs="Arial"/>
                <w:b/>
              </w:rPr>
              <w:t>mg/dL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DF5" w14:textId="1667D069" w:rsidR="00E46BE4" w:rsidRPr="00A61A24" w:rsidRDefault="00E46BE4" w:rsidP="00E46BE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A61A24">
              <w:rPr>
                <w:rFonts w:ascii="Arial" w:hAnsi="Arial" w:cs="Arial"/>
                <w:b/>
              </w:rPr>
              <w:t>mmol/L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B51F" w14:textId="77777777" w:rsidR="00E46BE4" w:rsidRPr="00A61A24" w:rsidRDefault="00E46BE4" w:rsidP="00E46BE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</w:p>
        </w:tc>
      </w:tr>
      <w:tr w:rsidR="00251F65" w:rsidRPr="009F4A2A" w14:paraId="71DFA574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705E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80-100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BE2F" w14:textId="1ECC25C3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4.4</w:t>
            </w:r>
            <w:r w:rsidR="006A6B19" w:rsidRPr="00A61A24">
              <w:rPr>
                <w:rFonts w:ascii="Arial" w:hAnsi="Arial" w:cs="Arial"/>
              </w:rPr>
              <w:t xml:space="preserve"> to &lt;5.</w:t>
            </w:r>
            <w:r w:rsidR="00E76765">
              <w:rPr>
                <w:rFonts w:ascii="Arial" w:hAnsi="Arial" w:cs="Arial"/>
              </w:rPr>
              <w:t>6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EA76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No change</w:t>
            </w:r>
          </w:p>
        </w:tc>
      </w:tr>
      <w:tr w:rsidR="00251F65" w:rsidRPr="009F4A2A" w14:paraId="5E562017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542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101-120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C108" w14:textId="7FE023D9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5.6 to 6.7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1165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increase the dose by 2 U.</w:t>
            </w:r>
          </w:p>
        </w:tc>
      </w:tr>
      <w:tr w:rsidR="00251F65" w:rsidRPr="009F4A2A" w14:paraId="4137EE3C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E860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121-140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726E" w14:textId="54CC29AD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6.8 to 7.8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D1B4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increase the dose by 4 U.</w:t>
            </w:r>
          </w:p>
        </w:tc>
      </w:tr>
      <w:tr w:rsidR="00251F65" w:rsidRPr="009F4A2A" w14:paraId="6320D8A1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9C7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141-180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E2F0" w14:textId="3767B6C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7.9 to 10.0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DB25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increase the dose by 6 U.</w:t>
            </w:r>
          </w:p>
        </w:tc>
      </w:tr>
      <w:tr w:rsidR="00251F65" w:rsidRPr="009F4A2A" w14:paraId="2FAE4652" w14:textId="77777777" w:rsidTr="006B70F2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8F8C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&gt;180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DFC0" w14:textId="20DBBD79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&gt; 10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A62F" w14:textId="77777777" w:rsidR="00251F65" w:rsidRPr="00A61A24" w:rsidRDefault="00251F65" w:rsidP="006B70F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A61A24">
              <w:rPr>
                <w:rFonts w:ascii="Arial" w:hAnsi="Arial" w:cs="Arial"/>
              </w:rPr>
              <w:t>increase the dose by 8 U.</w:t>
            </w:r>
          </w:p>
        </w:tc>
      </w:tr>
    </w:tbl>
    <w:p w14:paraId="0DC10C09" w14:textId="26A1069C" w:rsidR="00721BC0" w:rsidRPr="009F4A2A" w:rsidRDefault="00721BC0" w:rsidP="00721BC0">
      <w:pPr>
        <w:autoSpaceDE w:val="0"/>
        <w:autoSpaceDN w:val="0"/>
        <w:adjustRightInd w:val="0"/>
        <w:rPr>
          <w:rFonts w:ascii="Arial" w:eastAsia="TimesNewRoman" w:hAnsi="Arial" w:cs="Arial"/>
        </w:rPr>
      </w:pPr>
      <w:r w:rsidRPr="009F4A2A">
        <w:rPr>
          <w:rFonts w:ascii="Arial" w:eastAsia="TimesNewRoman" w:hAnsi="Arial" w:cs="Arial"/>
        </w:rPr>
        <w:t>Conversions from mg/dL to mmol/L were rounded off to prevent overlap between threshold ranges and to address that the glucose meter displays 1 significant digit after the decimal when reporting mmol/L readings.</w:t>
      </w:r>
    </w:p>
    <w:p w14:paraId="4BCC8B55" w14:textId="77777777" w:rsidR="00251F65" w:rsidRPr="0050057C" w:rsidRDefault="00251F65" w:rsidP="00251F65">
      <w:pPr>
        <w:rPr>
          <w:rFonts w:eastAsiaTheme="minorEastAsia" w:cstheme="minorHAnsi"/>
        </w:rPr>
      </w:pPr>
    </w:p>
    <w:p w14:paraId="1C3FAA32" w14:textId="77777777" w:rsidR="00841B3C" w:rsidRPr="00841B3C" w:rsidRDefault="00841B3C">
      <w:pPr>
        <w:rPr>
          <w:rFonts w:ascii="Arial" w:hAnsi="Arial" w:cs="Arial"/>
        </w:rPr>
      </w:pPr>
    </w:p>
    <w:p w14:paraId="236DAD43" w14:textId="77777777" w:rsidR="00841B3C" w:rsidRPr="00841B3C" w:rsidRDefault="00841B3C">
      <w:pPr>
        <w:rPr>
          <w:rFonts w:ascii="Arial" w:hAnsi="Arial" w:cs="Arial"/>
        </w:rPr>
      </w:pPr>
    </w:p>
    <w:sectPr w:rsidR="00841B3C" w:rsidRPr="00841B3C" w:rsidSect="004C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382"/>
    <w:multiLevelType w:val="hybridMultilevel"/>
    <w:tmpl w:val="8F72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18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3C"/>
    <w:rsid w:val="0004772E"/>
    <w:rsid w:val="000B15F5"/>
    <w:rsid w:val="000E1905"/>
    <w:rsid w:val="00144CE2"/>
    <w:rsid w:val="0020676D"/>
    <w:rsid w:val="00231989"/>
    <w:rsid w:val="00251F65"/>
    <w:rsid w:val="00282913"/>
    <w:rsid w:val="002B541F"/>
    <w:rsid w:val="002E0B42"/>
    <w:rsid w:val="002F1CDC"/>
    <w:rsid w:val="00351FDE"/>
    <w:rsid w:val="00353A77"/>
    <w:rsid w:val="003B677F"/>
    <w:rsid w:val="00411D82"/>
    <w:rsid w:val="00423959"/>
    <w:rsid w:val="004B7B81"/>
    <w:rsid w:val="004C3CFD"/>
    <w:rsid w:val="004E4CA5"/>
    <w:rsid w:val="00587FB0"/>
    <w:rsid w:val="00593203"/>
    <w:rsid w:val="005F602C"/>
    <w:rsid w:val="0061773F"/>
    <w:rsid w:val="00621DF9"/>
    <w:rsid w:val="00660ECB"/>
    <w:rsid w:val="0067220C"/>
    <w:rsid w:val="006919DB"/>
    <w:rsid w:val="0069209B"/>
    <w:rsid w:val="006A6B19"/>
    <w:rsid w:val="006A7D79"/>
    <w:rsid w:val="006B20BF"/>
    <w:rsid w:val="006B5499"/>
    <w:rsid w:val="00716FC7"/>
    <w:rsid w:val="00721BC0"/>
    <w:rsid w:val="00731958"/>
    <w:rsid w:val="00737F14"/>
    <w:rsid w:val="007A7AA0"/>
    <w:rsid w:val="007C0F51"/>
    <w:rsid w:val="007C34D4"/>
    <w:rsid w:val="00841B3C"/>
    <w:rsid w:val="0084337B"/>
    <w:rsid w:val="00843689"/>
    <w:rsid w:val="00955260"/>
    <w:rsid w:val="009A2820"/>
    <w:rsid w:val="009C4885"/>
    <w:rsid w:val="009D7517"/>
    <w:rsid w:val="009F0DAD"/>
    <w:rsid w:val="009F4A2A"/>
    <w:rsid w:val="00A5698B"/>
    <w:rsid w:val="00A61A24"/>
    <w:rsid w:val="00AA4CBA"/>
    <w:rsid w:val="00B009B4"/>
    <w:rsid w:val="00B10083"/>
    <w:rsid w:val="00B20404"/>
    <w:rsid w:val="00B67602"/>
    <w:rsid w:val="00B750DB"/>
    <w:rsid w:val="00B95633"/>
    <w:rsid w:val="00B9674E"/>
    <w:rsid w:val="00C01400"/>
    <w:rsid w:val="00C173FF"/>
    <w:rsid w:val="00C63744"/>
    <w:rsid w:val="00C65839"/>
    <w:rsid w:val="00C81945"/>
    <w:rsid w:val="00CA5899"/>
    <w:rsid w:val="00CF05E6"/>
    <w:rsid w:val="00CF6CEA"/>
    <w:rsid w:val="00D1780E"/>
    <w:rsid w:val="00D37BAB"/>
    <w:rsid w:val="00D75C10"/>
    <w:rsid w:val="00D9359B"/>
    <w:rsid w:val="00D96410"/>
    <w:rsid w:val="00DC0C44"/>
    <w:rsid w:val="00DD052D"/>
    <w:rsid w:val="00E2047F"/>
    <w:rsid w:val="00E23608"/>
    <w:rsid w:val="00E34A7C"/>
    <w:rsid w:val="00E46BE4"/>
    <w:rsid w:val="00E76765"/>
    <w:rsid w:val="00E922B0"/>
    <w:rsid w:val="00EC030F"/>
    <w:rsid w:val="00EC148C"/>
    <w:rsid w:val="00EC2B47"/>
    <w:rsid w:val="00ED79CC"/>
    <w:rsid w:val="00EE2882"/>
    <w:rsid w:val="00F22A11"/>
    <w:rsid w:val="00F43DCD"/>
    <w:rsid w:val="00F748AA"/>
    <w:rsid w:val="00F85B7A"/>
    <w:rsid w:val="00F870E8"/>
    <w:rsid w:val="00FA2924"/>
    <w:rsid w:val="00FA6D02"/>
    <w:rsid w:val="00FF19DA"/>
    <w:rsid w:val="01C019EE"/>
    <w:rsid w:val="127FC4D1"/>
    <w:rsid w:val="12883187"/>
    <w:rsid w:val="130C6969"/>
    <w:rsid w:val="13DCA96E"/>
    <w:rsid w:val="1A3506B8"/>
    <w:rsid w:val="1CEB3C55"/>
    <w:rsid w:val="1F451F7C"/>
    <w:rsid w:val="233F0400"/>
    <w:rsid w:val="2CE497C2"/>
    <w:rsid w:val="2D1B3567"/>
    <w:rsid w:val="2E9A0D7B"/>
    <w:rsid w:val="2F9ACD5F"/>
    <w:rsid w:val="30E5D8D0"/>
    <w:rsid w:val="31D1AE3D"/>
    <w:rsid w:val="35094EFF"/>
    <w:rsid w:val="37B4B09E"/>
    <w:rsid w:val="3E0EC2C4"/>
    <w:rsid w:val="408FC9A5"/>
    <w:rsid w:val="41EFBF8D"/>
    <w:rsid w:val="485F0111"/>
    <w:rsid w:val="4B0707BD"/>
    <w:rsid w:val="5F40824D"/>
    <w:rsid w:val="6860E571"/>
    <w:rsid w:val="6E3FB290"/>
    <w:rsid w:val="6F13BA8F"/>
    <w:rsid w:val="6F3BF422"/>
    <w:rsid w:val="739F8756"/>
    <w:rsid w:val="742216D2"/>
    <w:rsid w:val="771F00D9"/>
    <w:rsid w:val="7DAB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AD805"/>
  <w15:chartTrackingRefBased/>
  <w15:docId w15:val="{BD09C758-7B7D-48F3-A334-80BD604C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Vijay 1,Header Table"/>
    <w:basedOn w:val="TableNormal"/>
    <w:uiPriority w:val="59"/>
    <w:rsid w:val="0084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77F"/>
    <w:pPr>
      <w:ind w:left="720"/>
      <w:contextualSpacing/>
    </w:pPr>
  </w:style>
  <w:style w:type="paragraph" w:styleId="Revision">
    <w:name w:val="Revision"/>
    <w:hidden/>
    <w:uiPriority w:val="99"/>
    <w:semiHidden/>
    <w:rsid w:val="00B10083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16FC7"/>
  </w:style>
  <w:style w:type="character" w:customStyle="1" w:styleId="eop">
    <w:name w:val="eop"/>
    <w:basedOn w:val="DefaultParagraphFont"/>
    <w:rsid w:val="00716FC7"/>
  </w:style>
  <w:style w:type="character" w:styleId="CommentReference">
    <w:name w:val="annotation reference"/>
    <w:basedOn w:val="DefaultParagraphFont"/>
    <w:uiPriority w:val="99"/>
    <w:semiHidden/>
    <w:unhideWhenUsed/>
    <w:rsid w:val="00E34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4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4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A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5ca13c-1689-4d8e-b131-8b591d97e6ed" xsi:nil="true"/>
    <lcf76f155ced4ddcb4097134ff3c332f xmlns="048aa933-a7ac-4a2d-b57e-fa7d0e9e05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493D83CE566B4A9F1879DC12A3D20B" ma:contentTypeVersion="16" ma:contentTypeDescription="Create a new document." ma:contentTypeScope="" ma:versionID="a3aaa5434e6ab2ddbeeb67a468b994f0">
  <xsd:schema xmlns:xsd="http://www.w3.org/2001/XMLSchema" xmlns:xs="http://www.w3.org/2001/XMLSchema" xmlns:p="http://schemas.microsoft.com/office/2006/metadata/properties" xmlns:ns2="048aa933-a7ac-4a2d-b57e-fa7d0e9e0572" xmlns:ns3="555ca13c-1689-4d8e-b131-8b591d97e6ed" targetNamespace="http://schemas.microsoft.com/office/2006/metadata/properties" ma:root="true" ma:fieldsID="884119be9d1f0ea38ab65c65c1d1c78b" ns2:_="" ns3:_="">
    <xsd:import namespace="048aa933-a7ac-4a2d-b57e-fa7d0e9e0572"/>
    <xsd:import namespace="555ca13c-1689-4d8e-b131-8b591d97e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aa933-a7ac-4a2d-b57e-fa7d0e9e0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adb9bf-65a7-4dcd-b9fe-2cabe70ed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a13c-1689-4d8e-b131-8b591d97e6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a7a456-6e1d-4ed7-8fb1-df8275c8c02d}" ma:internalName="TaxCatchAll" ma:showField="CatchAllData" ma:web="555ca13c-1689-4d8e-b131-8b591d97e6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6D04C-965C-4206-9BDF-01F0F864FD2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48aa933-a7ac-4a2d-b57e-fa7d0e9e0572"/>
    <ds:schemaRef ds:uri="http://purl.org/dc/elements/1.1/"/>
    <ds:schemaRef ds:uri="http://schemas.microsoft.com/office/2006/metadata/properties"/>
    <ds:schemaRef ds:uri="http://purl.org/dc/terms/"/>
    <ds:schemaRef ds:uri="555ca13c-1689-4d8e-b131-8b591d97e6e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612351-6072-48B1-B747-F88767C75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aa933-a7ac-4a2d-b57e-fa7d0e9e0572"/>
    <ds:schemaRef ds:uri="555ca13c-1689-4d8e-b131-8b591d97e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EF14C1-5902-4049-943A-901D52427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Syring</dc:creator>
  <cp:keywords/>
  <dc:description/>
  <cp:lastModifiedBy>Alastair Knights</cp:lastModifiedBy>
  <cp:revision>71</cp:revision>
  <dcterms:created xsi:type="dcterms:W3CDTF">2023-02-02T19:46:00Z</dcterms:created>
  <dcterms:modified xsi:type="dcterms:W3CDTF">2023-02-10T17:40:00Z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0x01010081493D83CE566B4A9F1879DC12A3D20B</vt:lpwstr>
  </property>
  <property fmtid="{D5CDD505-2E9C-101B-9397-08002B2CF9AE}" pid="3" name="MediaServiceImageTags">
    <vt:lpwstr/>
  </property>
</Properties>
</file>