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t>Supplementary material</w:t>
      </w:r>
    </w:p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t xml:space="preserve">Suppl. Figure 1. Metabolic characteristics and liver parameters of the study population stratified by cluster </w:t>
      </w: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t>Data are presented as median and interquartile range. Figures depict differences in circulating free fatty acids (panel A), adipose-tissue insulin sensitivity (panel B), whole-body insulin sensitivity (panel C), hepatic insulin sensitivity (panel D), liver fat content (panel E), fatty liver index (panel F), and liver fibrosis indices APRI (panel G) and FiB-4 (panel H). Metabolically healthy humans (CON) are depicted in black, patients with severe autoimmune diabetes (SAID) in indigo,</w:t>
      </w:r>
      <w:r w:rsidRPr="00CF475D" w:rsidDel="008E3BE8">
        <w:rPr>
          <w:color w:val="auto"/>
          <w:sz w:val="24"/>
          <w:szCs w:val="24"/>
          <w:lang w:val="en-US"/>
        </w:rPr>
        <w:t xml:space="preserve"> </w:t>
      </w:r>
      <w:r w:rsidRPr="00CF475D">
        <w:rPr>
          <w:color w:val="auto"/>
          <w:sz w:val="24"/>
          <w:szCs w:val="24"/>
          <w:lang w:val="en-US"/>
        </w:rPr>
        <w:t>severe insulin deficient diabetes (SIDD) in light blue, severe insulin-resistant diabetes (SIRD) in green, moderate obesity-related diabetes (MOD) in orange and moderate age-related diabetes (MARD)</w:t>
      </w:r>
      <w:r>
        <w:rPr>
          <w:color w:val="auto"/>
          <w:sz w:val="24"/>
          <w:szCs w:val="24"/>
          <w:lang w:val="en-US"/>
        </w:rPr>
        <w:t xml:space="preserve"> in pink</w:t>
      </w:r>
      <w:r w:rsidRPr="00CF475D">
        <w:rPr>
          <w:color w:val="auto"/>
          <w:sz w:val="24"/>
          <w:szCs w:val="24"/>
          <w:lang w:val="en-US"/>
        </w:rPr>
        <w:t xml:space="preserve">. APRI, AST (aspartate aminotransferase) to Platelet Ratio Index; </w:t>
      </w:r>
      <w:r w:rsidRPr="00CF475D">
        <w:rPr>
          <w:color w:val="auto"/>
          <w:sz w:val="24"/>
          <w:szCs w:val="24"/>
        </w:rPr>
        <w:t>Adipo-IR, adipose-tissue insulin resistance index; EGP, endogenous glucose production;</w:t>
      </w:r>
      <w:r w:rsidRPr="00CF475D">
        <w:rPr>
          <w:color w:val="auto"/>
          <w:sz w:val="24"/>
          <w:szCs w:val="24"/>
          <w:lang w:val="en-US"/>
        </w:rPr>
        <w:t xml:space="preserve"> FLI, fatty liver index. *, p&lt;0.05.</w:t>
      </w: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t>Suppl. Figure 2. Metabolic characteristics and liver parameters of the study population stratified by diabetes type and patatin-like phospholipase domain-containing 3 (</w:t>
      </w:r>
      <w:r w:rsidRPr="00CF475D">
        <w:rPr>
          <w:b/>
          <w:i/>
          <w:color w:val="auto"/>
          <w:sz w:val="24"/>
          <w:szCs w:val="24"/>
          <w:lang w:val="en-US"/>
        </w:rPr>
        <w:t>PNPLA3</w:t>
      </w:r>
      <w:r w:rsidRPr="00CF475D">
        <w:rPr>
          <w:b/>
          <w:color w:val="auto"/>
          <w:sz w:val="24"/>
          <w:szCs w:val="24"/>
          <w:lang w:val="en-US"/>
        </w:rPr>
        <w:t>) genotype</w:t>
      </w: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t xml:space="preserve">Data are presented as median and interquartile range. Figures depict differences in circulating free fatty acids (panel A), adipose-tissue insulin sensitivity (panel B), whole-body insulin sensitivity (panel C), hepatic insulin sensitivity (panel D), liver fat content (panel E), fatty liver index (panel F), and liver fibrosis indices APRI (panel G) and FiB-4 (panel H) in metabolically healthy humans (CON, circles), patients with Type 1 diabetes (T1DM, triangles) and patients with type 2 diabetes (T2DM, squares). Full shapes represent carriers of the variant (G-allele) while empty shapes represent non-carriers.  APRI, AST (aspartate aminotransferase) to Platelet Ratio Index; </w:t>
      </w:r>
      <w:r w:rsidRPr="00CF475D">
        <w:rPr>
          <w:color w:val="auto"/>
          <w:sz w:val="24"/>
          <w:szCs w:val="24"/>
        </w:rPr>
        <w:t>Adipo-IR, adipose-tissue insulin resistance index; EGP, endogenous glucose production;</w:t>
      </w:r>
      <w:r w:rsidRPr="00CF475D">
        <w:rPr>
          <w:color w:val="auto"/>
          <w:sz w:val="24"/>
          <w:szCs w:val="24"/>
          <w:lang w:val="en-US"/>
        </w:rPr>
        <w:t xml:space="preserve"> FLI, fatty liver index. *, p≤0.05; #, p&lt;0.05 after adjustments for age, sex and BMI.</w:t>
      </w: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line="360" w:lineRule="auto"/>
        <w:contextualSpacing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t>Suppl. Figure 3. Targeted lipidomics analysis</w:t>
      </w:r>
    </w:p>
    <w:p w:rsidR="003319FA" w:rsidRPr="00CF475D" w:rsidRDefault="003319FA" w:rsidP="003319FA">
      <w:pPr>
        <w:spacing w:line="360" w:lineRule="auto"/>
        <w:contextualSpacing/>
        <w:jc w:val="both"/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t xml:space="preserve">Volcano plots depict the differences in lipid metabolite profiles in the study population. Patients with severe insulin-resistant diabetes (SIRD) were compared to severe autoimmune diabetes (SAID, panel A), severe insulin deficient diabetes (SIDD, panel </w:t>
      </w:r>
      <w:r w:rsidRPr="00CF475D">
        <w:rPr>
          <w:color w:val="auto"/>
          <w:sz w:val="24"/>
          <w:szCs w:val="24"/>
          <w:lang w:val="en-US"/>
        </w:rPr>
        <w:lastRenderedPageBreak/>
        <w:t>B), moderate obesity-related diabetes (MOD, panel C), and moderate age-related diabetes (MARD, panel D).  Colored dots represent statistically different up- or downregulated lipid metabolites after adjustment for multiple comparison (green, p&lt;0.000098) or unadjusted (blue, p&lt;0.05). The dotted line represents the value for unadjusted statistical significance (p&lt;0.05). Triangles represent metabolites which showed statistically significant differences between SIRD G-allele carriers and non-carriers.</w:t>
      </w:r>
    </w:p>
    <w:p w:rsidR="003319FA" w:rsidRPr="00CF475D" w:rsidRDefault="003319FA" w:rsidP="003319FA">
      <w:pPr>
        <w:spacing w:line="360" w:lineRule="auto"/>
        <w:contextualSpacing/>
        <w:jc w:val="both"/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after="200" w:line="276" w:lineRule="auto"/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br w:type="page"/>
      </w:r>
    </w:p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lastRenderedPageBreak/>
        <w:t xml:space="preserve">Suppl. Figure 1. Metabolic characteristics and liver parameters of the study population stratified by cluster </w:t>
      </w: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t>.</w:t>
      </w:r>
    </w:p>
    <w:p w:rsidR="003319FA" w:rsidRPr="00CF475D" w:rsidRDefault="003319FA" w:rsidP="003319FA">
      <w:pPr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rPr>
          <w:b/>
          <w:color w:val="auto"/>
          <w:sz w:val="24"/>
          <w:szCs w:val="24"/>
          <w:lang w:val="en-US"/>
        </w:rPr>
      </w:pPr>
      <w:r w:rsidRPr="001C39DA">
        <w:rPr>
          <w:noProof/>
          <w:color w:val="auto"/>
        </w:rPr>
        <w:object w:dxaOrig="10915" w:dyaOrig="15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1.95pt;height:635.15pt;mso-width-percent:0;mso-height-percent:0;mso-width-percent:0;mso-height-percent:0" o:ole="">
            <v:imagedata r:id="rId4" o:title=""/>
          </v:shape>
          <o:OLEObject Type="Embed" ProgID="Prism8.Document" ShapeID="_x0000_i1025" DrawAspect="Content" ObjectID="_1649506650" r:id="rId5"/>
        </w:object>
      </w:r>
      <w:r w:rsidRPr="00CF475D">
        <w:rPr>
          <w:b/>
          <w:color w:val="auto"/>
          <w:sz w:val="24"/>
          <w:szCs w:val="24"/>
          <w:lang w:val="en-US"/>
        </w:rPr>
        <w:br w:type="page"/>
      </w:r>
    </w:p>
    <w:p w:rsidR="003319FA" w:rsidRPr="00CF475D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lastRenderedPageBreak/>
        <w:t>Suppl. Figure 2. Metabolic characteristics and liver parameters of the study population stratified by diabetes type and patatin-like phospholipase domain-containing 3 (</w:t>
      </w:r>
      <w:r w:rsidRPr="00CF475D">
        <w:rPr>
          <w:b/>
          <w:i/>
          <w:color w:val="auto"/>
          <w:sz w:val="24"/>
          <w:szCs w:val="24"/>
          <w:lang w:val="en-US"/>
        </w:rPr>
        <w:t>PNPLA3</w:t>
      </w:r>
      <w:r w:rsidRPr="00CF475D">
        <w:rPr>
          <w:b/>
          <w:color w:val="auto"/>
          <w:sz w:val="24"/>
          <w:szCs w:val="24"/>
          <w:lang w:val="en-US"/>
        </w:rPr>
        <w:t>) genotype</w:t>
      </w:r>
    </w:p>
    <w:p w:rsidR="003319FA" w:rsidRPr="00CF475D" w:rsidRDefault="003319FA" w:rsidP="003319FA">
      <w:pPr>
        <w:spacing w:line="276" w:lineRule="auto"/>
        <w:contextualSpacing/>
        <w:jc w:val="both"/>
        <w:rPr>
          <w:b/>
          <w:color w:val="auto"/>
          <w:sz w:val="24"/>
          <w:szCs w:val="24"/>
          <w:lang w:val="en-US"/>
        </w:rPr>
      </w:pPr>
      <w:r w:rsidRPr="001C39DA">
        <w:rPr>
          <w:noProof/>
          <w:color w:val="auto"/>
        </w:rPr>
        <w:object w:dxaOrig="10836" w:dyaOrig="15015">
          <v:shape id="_x0000_i1026" type="#_x0000_t75" alt="" style="width:452.65pt;height:627.35pt" o:ole="">
            <v:imagedata r:id="rId6" o:title=""/>
          </v:shape>
          <o:OLEObject Type="Embed" ProgID="Prism8.Document" ShapeID="_x0000_i1026" DrawAspect="Content" ObjectID="_1649506651" r:id="rId7"/>
        </w:object>
      </w:r>
      <w:r w:rsidRPr="00CF475D">
        <w:rPr>
          <w:b/>
          <w:color w:val="auto"/>
          <w:sz w:val="24"/>
          <w:szCs w:val="24"/>
          <w:lang w:val="en-US"/>
        </w:rPr>
        <w:t xml:space="preserve"> </w:t>
      </w:r>
    </w:p>
    <w:p w:rsidR="003319FA" w:rsidRPr="00CF475D" w:rsidRDefault="003319FA" w:rsidP="003319FA">
      <w:pPr>
        <w:spacing w:line="276" w:lineRule="auto"/>
        <w:contextualSpacing/>
        <w:jc w:val="both"/>
        <w:rPr>
          <w:b/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line="276" w:lineRule="auto"/>
        <w:contextualSpacing/>
        <w:jc w:val="both"/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lastRenderedPageBreak/>
        <w:t>Suppl. Figure 3. Targeted lipidomics analysis</w:t>
      </w:r>
    </w:p>
    <w:p w:rsidR="003319FA" w:rsidRPr="00CF475D" w:rsidRDefault="003319FA" w:rsidP="003319FA">
      <w:pPr>
        <w:spacing w:line="276" w:lineRule="auto"/>
        <w:contextualSpacing/>
        <w:jc w:val="both"/>
        <w:rPr>
          <w:b/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  <w:sectPr w:rsidR="003319FA" w:rsidRPr="00CF475D" w:rsidSect="002C1DFE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 w:rsidRPr="001C39DA">
        <w:rPr>
          <w:noProof/>
          <w:color w:val="auto"/>
        </w:rPr>
        <w:object w:dxaOrig="11002" w:dyaOrig="9192">
          <v:shape id="_x0000_i1027" type="#_x0000_t75" alt="" style="width:452.65pt;height:375.7pt;mso-width-percent:0;mso-height-percent:0;mso-width-percent:0;mso-height-percent:0" o:ole="">
            <v:imagedata r:id="rId8" o:title=""/>
          </v:shape>
          <o:OLEObject Type="Embed" ProgID="Prism8.Document" ShapeID="_x0000_i1027" DrawAspect="Content" ObjectID="_1649506652" r:id="rId9"/>
        </w:object>
      </w:r>
    </w:p>
    <w:p w:rsidR="003319FA" w:rsidRPr="003319FA" w:rsidRDefault="003319FA" w:rsidP="003319FA">
      <w:pPr>
        <w:spacing w:line="360" w:lineRule="auto"/>
        <w:jc w:val="both"/>
        <w:rPr>
          <w:b/>
          <w:color w:val="auto"/>
          <w:sz w:val="24"/>
          <w:szCs w:val="24"/>
          <w:lang w:val="en-US"/>
        </w:rPr>
      </w:pPr>
      <w:r w:rsidRPr="003319FA">
        <w:rPr>
          <w:b/>
          <w:color w:val="auto"/>
          <w:sz w:val="24"/>
          <w:szCs w:val="24"/>
          <w:lang w:val="en-US"/>
        </w:rPr>
        <w:lastRenderedPageBreak/>
        <w:t>Supplementary Table 1</w:t>
      </w:r>
      <w:r>
        <w:rPr>
          <w:b/>
          <w:color w:val="auto"/>
          <w:sz w:val="24"/>
          <w:szCs w:val="24"/>
          <w:lang w:val="en-US"/>
        </w:rPr>
        <w:t xml:space="preserve">. Participants’ characteristics stratified by cluster and </w:t>
      </w:r>
      <w:r w:rsidRPr="00CF475D">
        <w:rPr>
          <w:b/>
          <w:i/>
          <w:color w:val="auto"/>
          <w:sz w:val="24"/>
          <w:szCs w:val="24"/>
          <w:lang w:val="en-US"/>
        </w:rPr>
        <w:t>PNPLA3</w:t>
      </w:r>
      <w:bookmarkStart w:id="0" w:name="_GoBack"/>
      <w:bookmarkEnd w:id="0"/>
      <w:r w:rsidRPr="00CF475D">
        <w:rPr>
          <w:b/>
          <w:color w:val="auto"/>
          <w:sz w:val="24"/>
          <w:szCs w:val="24"/>
          <w:lang w:val="en-US"/>
        </w:rPr>
        <w:t xml:space="preserve"> genotype</w:t>
      </w:r>
    </w:p>
    <w:tbl>
      <w:tblPr>
        <w:tblStyle w:val="Tabellenraster"/>
        <w:tblW w:w="1451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154" w:type="dxa"/>
            <w:gridSpan w:val="2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CON</w:t>
            </w:r>
          </w:p>
        </w:tc>
        <w:tc>
          <w:tcPr>
            <w:tcW w:w="2154" w:type="dxa"/>
            <w:gridSpan w:val="2"/>
          </w:tcPr>
          <w:p w:rsidR="003319FA" w:rsidRPr="00CF475D" w:rsidDel="00206BBA" w:rsidRDefault="003319FA" w:rsidP="00FE5486">
            <w:pPr>
              <w:spacing w:line="276" w:lineRule="auto"/>
              <w:ind w:right="-28"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SAID</w:t>
            </w:r>
          </w:p>
        </w:tc>
        <w:tc>
          <w:tcPr>
            <w:tcW w:w="2154" w:type="dxa"/>
            <w:gridSpan w:val="2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SIDD</w:t>
            </w:r>
          </w:p>
        </w:tc>
        <w:tc>
          <w:tcPr>
            <w:tcW w:w="2154" w:type="dxa"/>
            <w:gridSpan w:val="2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SIRD</w:t>
            </w:r>
          </w:p>
        </w:tc>
        <w:tc>
          <w:tcPr>
            <w:tcW w:w="2154" w:type="dxa"/>
            <w:gridSpan w:val="2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MOD</w:t>
            </w:r>
          </w:p>
        </w:tc>
        <w:tc>
          <w:tcPr>
            <w:tcW w:w="2154" w:type="dxa"/>
            <w:gridSpan w:val="2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MARD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right="-28"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right="-28"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Non-carriers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b/>
                <w:color w:val="auto"/>
                <w:sz w:val="18"/>
                <w:szCs w:val="18"/>
                <w:lang w:val="en-US"/>
              </w:rPr>
            </w:pPr>
            <w:r w:rsidRPr="00CF475D">
              <w:rPr>
                <w:b/>
                <w:color w:val="auto"/>
                <w:sz w:val="18"/>
                <w:szCs w:val="18"/>
                <w:lang w:val="en-US"/>
              </w:rPr>
              <w:t>G-allele carriers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N [n]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54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137</w:t>
            </w:r>
          </w:p>
        </w:tc>
        <w:tc>
          <w:tcPr>
            <w:tcW w:w="1077" w:type="dxa"/>
            <w:vAlign w:val="bottom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117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136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104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141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113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Genotype frequency (CG/GG) [n]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24/5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105/12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13/0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33/6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91/13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95/18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Age [years]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48±14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46±13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38±12</w:t>
            </w:r>
          </w:p>
        </w:tc>
        <w:tc>
          <w:tcPr>
            <w:tcW w:w="1077" w:type="dxa"/>
            <w:vAlign w:val="bottom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36±12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40±15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46±9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57±9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56±10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46±10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45±10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58±8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58±7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BMI [kg/m</w:t>
            </w:r>
            <w:r w:rsidRPr="00CF475D">
              <w:rPr>
                <w:color w:val="auto"/>
                <w:sz w:val="18"/>
                <w:szCs w:val="18"/>
                <w:vertAlign w:val="superscript"/>
                <w:lang w:val="en-US"/>
              </w:rPr>
              <w:t>2</w:t>
            </w:r>
            <w:r w:rsidRPr="00CF475D">
              <w:rPr>
                <w:color w:val="auto"/>
                <w:sz w:val="18"/>
                <w:szCs w:val="18"/>
                <w:lang w:val="en-US"/>
              </w:rPr>
              <w:t>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28.2±6.0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28.3±5.2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24.7±3.8</w:t>
            </w:r>
          </w:p>
        </w:tc>
        <w:tc>
          <w:tcPr>
            <w:tcW w:w="1077" w:type="dxa"/>
            <w:vAlign w:val="bottom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25.4±4.8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26.1±3.1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28.0±4.1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34.3±3.3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34.6±3.8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35.4±6.5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34.3±6.0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27.4±3.6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27.4±3.4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WHR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0.93±0.09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0.91±0.08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0.88±0.09</w:t>
            </w:r>
          </w:p>
        </w:tc>
        <w:tc>
          <w:tcPr>
            <w:tcW w:w="1077" w:type="dxa"/>
            <w:vAlign w:val="bottom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0.88±0.09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0.95±0.06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0.93±0.06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0.99±0.07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1.01±0.07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0.98±0.08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0.95±0.08*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0.96±0.07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0.94±0.07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Fasting blood glucose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[mg/dl]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90±8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93±22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130±42</w:t>
            </w:r>
          </w:p>
        </w:tc>
        <w:tc>
          <w:tcPr>
            <w:tcW w:w="1077" w:type="dxa"/>
            <w:vAlign w:val="bottom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141±50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163±44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209±66*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122±28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114±16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131±30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130±27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122±24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125±24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HbA1c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[%]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5.3±0.3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34±2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5.3±0.2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34±3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6.6±1.2</w:t>
            </w:r>
          </w:p>
          <w:p w:rsidR="003319FA" w:rsidRPr="00CF475D" w:rsidRDefault="003319FA" w:rsidP="00FE5486">
            <w:pPr>
              <w:spacing w:line="276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49±13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6.7±1.2</w:t>
            </w:r>
          </w:p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49±13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8.6±1.3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70±14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9.1±1.3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76±14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6.4±0.9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46±10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6.1±0.5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43±6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6.5±0.9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47±9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6.5±0.9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47±10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6.3±0.7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45±8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6.3±0.7</w:t>
            </w:r>
          </w:p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45±8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HOMA-IR [a.u.]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1.53±0.73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1.39±0.29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0.91±0.68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1.07±1.03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1.57±0.86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2.34±0.97*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4.68±1.52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4.36±1.00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2.85±1.08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2.68±0.89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1.92±0.70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1.98±0.81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HOMA-B [a.u.]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124±38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118±41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47±31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45±32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38±9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40±28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164±43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173±48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98±35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98±39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84±30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82±31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hsCRP [mg/dl]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0.1 (0.1; 0.2)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0.1 (0.1; 0.1)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0.1 (0.1; 0.2)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0.1 (0.1; 0.2)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0.1 (0.1; 0.4)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0.2 (0.1; 0.6)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0.4 (0.3; 0.6)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0.4 (0.2; 0.6)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0.4 (0.2; 0.7)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0.3 (0.2; 0.7)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0.2 (0.1; 0.3)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0.2 (0.1; 0.4)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Total cholesterol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[mg/dl]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206±32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202±40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185±36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185±40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190±31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221±20*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193±41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199±44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201±47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204±41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198±45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204±37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LDL-cholesterol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[mg/dl]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128±32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130±35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110±31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108±36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117±31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143±22*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119±37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125±37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128±38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133±37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127±38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131±33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HDL-cholesterol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[mg/dl]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62±19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59±18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62±19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62±17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55±13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48±11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40±9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42±10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44±11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46±13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51±14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51±14</w:t>
            </w:r>
          </w:p>
        </w:tc>
      </w:tr>
      <w:tr w:rsidR="003319FA" w:rsidRPr="00CF475D" w:rsidTr="00FE5486">
        <w:trPr>
          <w:trHeight w:val="127"/>
        </w:trPr>
        <w:tc>
          <w:tcPr>
            <w:tcW w:w="1587" w:type="dxa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 xml:space="preserve">Triglycerides </w:t>
            </w:r>
            <w:r w:rsidRPr="00CF475D">
              <w:rPr>
                <w:color w:val="auto"/>
                <w:kern w:val="24"/>
                <w:sz w:val="18"/>
                <w:szCs w:val="18"/>
                <w:lang w:val="en-US"/>
              </w:rPr>
              <w:t>[mg/dl]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95 (72; 145)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85 (59; 148)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69 (53; 104)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76 (55; 109)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88 (65; 197)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155 (138; 217)*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192 (134; 283)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151 (117; 236)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140 (100; 207)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141 (92; 181)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118 (82; 150)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116 (84; 177)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ALT [U/l]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25±13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24±7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21±9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21±7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21±4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30±22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27±13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30±14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26±12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25±9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23±8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25±11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AST [U/l]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28±21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27±15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23±20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24±13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26±5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41±23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42±17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42±17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37±23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37±21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27±13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32±20*</w:t>
            </w:r>
          </w:p>
        </w:tc>
      </w:tr>
      <w:tr w:rsidR="003319FA" w:rsidRPr="00CF475D" w:rsidTr="00FE5486">
        <w:tc>
          <w:tcPr>
            <w:tcW w:w="1587" w:type="dxa"/>
            <w:vAlign w:val="center"/>
          </w:tcPr>
          <w:p w:rsidR="003319FA" w:rsidRPr="00CF475D" w:rsidRDefault="003319FA" w:rsidP="00FE5486">
            <w:pPr>
              <w:spacing w:line="276" w:lineRule="auto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GGT [U/l]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26±19</w:t>
            </w:r>
          </w:p>
        </w:tc>
        <w:tc>
          <w:tcPr>
            <w:tcW w:w="1077" w:type="dxa"/>
            <w:vAlign w:val="center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26±18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19±13</w:t>
            </w:r>
          </w:p>
        </w:tc>
        <w:tc>
          <w:tcPr>
            <w:tcW w:w="1077" w:type="dxa"/>
          </w:tcPr>
          <w:p w:rsidR="003319FA" w:rsidRPr="00CF475D" w:rsidDel="00206BBA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25±30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31±19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41±27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53±37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47±48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54±78</w:t>
            </w:r>
          </w:p>
        </w:tc>
        <w:tc>
          <w:tcPr>
            <w:tcW w:w="1077" w:type="dxa"/>
            <w:vAlign w:val="bottom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36±29*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35±38</w:t>
            </w:r>
          </w:p>
        </w:tc>
        <w:tc>
          <w:tcPr>
            <w:tcW w:w="1077" w:type="dxa"/>
          </w:tcPr>
          <w:p w:rsidR="003319FA" w:rsidRPr="00CF475D" w:rsidRDefault="003319FA" w:rsidP="00FE5486">
            <w:pPr>
              <w:spacing w:line="276" w:lineRule="auto"/>
              <w:ind w:hanging="1"/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CF475D">
              <w:rPr>
                <w:color w:val="auto"/>
                <w:sz w:val="18"/>
                <w:szCs w:val="18"/>
                <w:lang w:val="en-US"/>
              </w:rPr>
              <w:t>36±24</w:t>
            </w:r>
          </w:p>
        </w:tc>
      </w:tr>
    </w:tbl>
    <w:p w:rsidR="003319FA" w:rsidRPr="00CF475D" w:rsidRDefault="003319FA" w:rsidP="003319FA">
      <w:pPr>
        <w:spacing w:line="360" w:lineRule="auto"/>
        <w:jc w:val="both"/>
        <w:rPr>
          <w:color w:val="auto"/>
          <w:lang w:val="en-US"/>
        </w:rPr>
      </w:pPr>
      <w:r w:rsidRPr="00CF475D">
        <w:rPr>
          <w:color w:val="auto"/>
          <w:lang w:val="en-US"/>
        </w:rPr>
        <w:t>Data are shown as absolute numbers, percentages, mean ± standard deviation or median (interquartile range), as applicable. Abbreviations: ALT, alanine aminotransferase; AST, aspartate aminotransferase; BMI, body mass index; CON, control group; GGT, gamma-glutamyl transferase; HbA1c, glycated hemoglobin A1c; HDL, high-density lipoprotein; hsCRP, high-sensitivity C-reactive protein; LDL, low-density lipoprotein; MARD, mild age-related diabetes; MOD, mild obesity-related diabetes; SAID, severe autoimmune diabetes; SIDD, severe insulin-deficient diabetes; SIRD, severe insulin-resistant diabetes; WHR, waist-to-hip ratio. *, p&lt;0.05 non-carriers vs. G-allele carriers within the group.</w:t>
      </w:r>
    </w:p>
    <w:p w:rsidR="003319FA" w:rsidRPr="00CF475D" w:rsidRDefault="003319FA" w:rsidP="003319FA">
      <w:pPr>
        <w:rPr>
          <w:rFonts w:ascii="Times New Roman" w:hAnsi="Times New Roman" w:cs="Times New Roman"/>
          <w:b/>
          <w:color w:val="auto"/>
          <w:sz w:val="22"/>
          <w:szCs w:val="22"/>
          <w:lang w:val="en-US"/>
        </w:rPr>
        <w:sectPr w:rsidR="003319FA" w:rsidRPr="00CF475D" w:rsidSect="001E6B3F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</w:p>
    <w:p w:rsidR="003319FA" w:rsidRPr="00CF475D" w:rsidRDefault="003319FA" w:rsidP="003319FA">
      <w:pPr>
        <w:rPr>
          <w:b/>
          <w:color w:val="auto"/>
          <w:sz w:val="24"/>
          <w:szCs w:val="24"/>
          <w:lang w:val="en-US"/>
        </w:rPr>
      </w:pPr>
      <w:r w:rsidRPr="00CF475D">
        <w:rPr>
          <w:b/>
          <w:color w:val="auto"/>
          <w:sz w:val="24"/>
          <w:szCs w:val="24"/>
          <w:lang w:val="en-US"/>
        </w:rPr>
        <w:lastRenderedPageBreak/>
        <w:t>Supplementary Table 2. Medication of the study population</w:t>
      </w:r>
    </w:p>
    <w:p w:rsidR="003319FA" w:rsidRPr="00CF475D" w:rsidRDefault="003319FA" w:rsidP="003319FA">
      <w:pPr>
        <w:rPr>
          <w:b/>
          <w:color w:val="auto"/>
          <w:sz w:val="24"/>
          <w:szCs w:val="24"/>
          <w:lang w:val="en-US"/>
        </w:rPr>
      </w:pPr>
    </w:p>
    <w:tbl>
      <w:tblPr>
        <w:tblStyle w:val="Tabellenraster"/>
        <w:tblW w:w="89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1191"/>
        <w:gridCol w:w="1191"/>
        <w:gridCol w:w="1191"/>
        <w:gridCol w:w="1191"/>
        <w:gridCol w:w="1191"/>
        <w:gridCol w:w="1191"/>
      </w:tblGrid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CON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SAID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SIDD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SIRD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MOD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b/>
                <w:color w:val="auto"/>
                <w:sz w:val="24"/>
                <w:szCs w:val="24"/>
                <w:lang w:val="en-US"/>
              </w:rPr>
            </w:pPr>
            <w:r w:rsidRPr="00CF475D">
              <w:rPr>
                <w:b/>
                <w:color w:val="auto"/>
                <w:sz w:val="24"/>
                <w:szCs w:val="24"/>
                <w:lang w:val="en-US"/>
              </w:rPr>
              <w:t>MARD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Insulin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82.7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48.0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3.3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15.0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11.0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Metformin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6.7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36.0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60.7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40.4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34.3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Other glucose-lowering medication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2.0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3.3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3.8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5.9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Anti-hypertensive medication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19.3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9.1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28.0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63.9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45.8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49.2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Lipid-lowering medication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2.4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1.6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12.0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31.2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11.3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21.3</w:t>
            </w:r>
          </w:p>
        </w:tc>
      </w:tr>
      <w:tr w:rsidR="003319FA" w:rsidRPr="00CF475D" w:rsidTr="00FE5486">
        <w:tc>
          <w:tcPr>
            <w:tcW w:w="1838" w:type="dxa"/>
          </w:tcPr>
          <w:p w:rsidR="003319FA" w:rsidRPr="00CF475D" w:rsidRDefault="003319FA" w:rsidP="00FE5486">
            <w:pPr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Non-steroidal anti-inflammatory drugs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16.9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4.7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12.0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24.6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17.5</w:t>
            </w:r>
          </w:p>
        </w:tc>
        <w:tc>
          <w:tcPr>
            <w:tcW w:w="1191" w:type="dxa"/>
          </w:tcPr>
          <w:p w:rsidR="003319FA" w:rsidRPr="00CF475D" w:rsidRDefault="003319FA" w:rsidP="00FE5486">
            <w:pPr>
              <w:jc w:val="center"/>
              <w:rPr>
                <w:color w:val="auto"/>
                <w:sz w:val="24"/>
                <w:szCs w:val="24"/>
                <w:lang w:val="en-US"/>
              </w:rPr>
            </w:pPr>
            <w:r w:rsidRPr="00CF475D">
              <w:rPr>
                <w:color w:val="auto"/>
                <w:sz w:val="24"/>
                <w:szCs w:val="24"/>
                <w:lang w:val="en-US"/>
              </w:rPr>
              <w:t>19.3</w:t>
            </w:r>
          </w:p>
        </w:tc>
      </w:tr>
    </w:tbl>
    <w:p w:rsidR="003319FA" w:rsidRPr="00CF475D" w:rsidRDefault="003319FA" w:rsidP="003319FA">
      <w:pPr>
        <w:spacing w:after="160"/>
        <w:rPr>
          <w:color w:val="auto"/>
          <w:sz w:val="24"/>
          <w:szCs w:val="24"/>
          <w:lang w:val="en-US"/>
        </w:rPr>
      </w:pPr>
    </w:p>
    <w:p w:rsidR="003319FA" w:rsidRPr="00CF475D" w:rsidRDefault="003319FA" w:rsidP="003319FA">
      <w:pPr>
        <w:spacing w:after="160"/>
        <w:rPr>
          <w:color w:val="auto"/>
          <w:sz w:val="24"/>
          <w:szCs w:val="24"/>
          <w:lang w:val="en-US"/>
        </w:rPr>
      </w:pPr>
      <w:r w:rsidRPr="00CF475D">
        <w:rPr>
          <w:color w:val="auto"/>
          <w:sz w:val="24"/>
          <w:szCs w:val="24"/>
          <w:lang w:val="en-US"/>
        </w:rPr>
        <w:t>Data of the study population are shown as %.</w:t>
      </w:r>
    </w:p>
    <w:p w:rsidR="003319FA" w:rsidRPr="00CF475D" w:rsidRDefault="003319FA" w:rsidP="003319FA">
      <w:pPr>
        <w:spacing w:line="360" w:lineRule="auto"/>
        <w:jc w:val="both"/>
        <w:rPr>
          <w:color w:val="auto"/>
          <w:sz w:val="24"/>
          <w:szCs w:val="24"/>
          <w:lang w:val="en-US"/>
        </w:rPr>
      </w:pPr>
    </w:p>
    <w:p w:rsidR="002374EC" w:rsidRPr="003319FA" w:rsidRDefault="003319FA">
      <w:pPr>
        <w:rPr>
          <w:lang w:val="en-US"/>
        </w:rPr>
      </w:pPr>
    </w:p>
    <w:sectPr w:rsidR="002374EC" w:rsidRPr="003319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FA"/>
    <w:rsid w:val="003319FA"/>
    <w:rsid w:val="00775A5A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31586-9142-4710-937A-9BCAEE8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19FA"/>
    <w:pPr>
      <w:spacing w:after="0" w:line="240" w:lineRule="auto"/>
    </w:pPr>
    <w:rPr>
      <w:rFonts w:ascii="Arial" w:eastAsia="Times New Roman" w:hAnsi="Arial" w:cs="Arial"/>
      <w:color w:val="19305C"/>
      <w:sz w:val="20"/>
      <w:szCs w:val="20"/>
      <w:lang w:val="en-AU" w:eastAsia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319FA"/>
    <w:pPr>
      <w:spacing w:after="0" w:line="240" w:lineRule="auto"/>
    </w:pPr>
    <w:rPr>
      <w:rFonts w:ascii="Arial" w:eastAsia="Times New Roman" w:hAnsi="Arial" w:cs="Arial"/>
      <w:color w:val="19305C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912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Zaharia, Oana-Patricia</dc:creator>
  <cp:keywords/>
  <dc:description/>
  <cp:lastModifiedBy>Zaharia, Oana-Patricia</cp:lastModifiedBy>
  <cp:revision>1</cp:revision>
  <dcterms:created xsi:type="dcterms:W3CDTF">2020-04-27T13:30:00Z</dcterms:created>
  <dcterms:modified xsi:type="dcterms:W3CDTF">2020-04-27T13:31:00Z</dcterms:modified>
</cp:coreProperties>
</file>