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2726D72" w14:textId="77777777" w:rsidR="000D4F8F" w:rsidRDefault="000D4F8F" w:rsidP="00195BA0">
      <w:pPr>
        <w:rPr>
          <w:rFonts w:ascii="Times" w:hAnsi="Times"/>
        </w:rPr>
      </w:pPr>
    </w:p>
    <w:p w14:paraId="721F7BFF" w14:textId="77777777" w:rsidR="000D4F8F" w:rsidRDefault="000D4F8F" w:rsidP="00195BA0">
      <w:pPr>
        <w:rPr>
          <w:rFonts w:ascii="Times" w:hAnsi="Times"/>
        </w:rPr>
      </w:pPr>
    </w:p>
    <w:p w14:paraId="306CC7A8" w14:textId="77777777" w:rsidR="000D4F8F" w:rsidRPr="000D4F8F" w:rsidRDefault="000D4F8F" w:rsidP="00195BA0">
      <w:pPr>
        <w:rPr>
          <w:rFonts w:ascii="Times" w:hAnsi="Times"/>
          <w:b/>
          <w:bCs/>
          <w:sz w:val="32"/>
          <w:szCs w:val="32"/>
        </w:rPr>
      </w:pPr>
    </w:p>
    <w:p w14:paraId="7CD3D4C5" w14:textId="77777777" w:rsidR="000D4F8F" w:rsidRPr="000D4F8F" w:rsidRDefault="000D4F8F" w:rsidP="000D4F8F">
      <w:pPr>
        <w:spacing w:line="480" w:lineRule="auto"/>
        <w:rPr>
          <w:rFonts w:ascii="Times" w:hAnsi="Times"/>
          <w:b/>
          <w:bCs/>
          <w:sz w:val="28"/>
          <w:szCs w:val="28"/>
        </w:rPr>
      </w:pPr>
      <w:r w:rsidRPr="000D4F8F">
        <w:rPr>
          <w:rFonts w:ascii="Times" w:hAnsi="Times"/>
          <w:b/>
          <w:bCs/>
          <w:sz w:val="28"/>
          <w:szCs w:val="28"/>
        </w:rPr>
        <w:t>ONLINE APPENDIX</w:t>
      </w:r>
    </w:p>
    <w:p w14:paraId="5A69C54F" w14:textId="77777777" w:rsidR="000D4F8F" w:rsidRPr="000D4F8F" w:rsidRDefault="000D4F8F" w:rsidP="000D4F8F">
      <w:pPr>
        <w:spacing w:line="480" w:lineRule="auto"/>
        <w:rPr>
          <w:rFonts w:ascii="Times" w:hAnsi="Times"/>
          <w:b/>
          <w:bCs/>
          <w:sz w:val="28"/>
          <w:szCs w:val="28"/>
        </w:rPr>
      </w:pPr>
    </w:p>
    <w:p w14:paraId="1039679D" w14:textId="77777777" w:rsidR="000D4F8F" w:rsidRPr="000D4F8F" w:rsidRDefault="000D4F8F" w:rsidP="000D4F8F">
      <w:pPr>
        <w:spacing w:line="480" w:lineRule="auto"/>
        <w:rPr>
          <w:rFonts w:ascii="Times" w:hAnsi="Times"/>
          <w:b/>
          <w:bCs/>
          <w:sz w:val="28"/>
          <w:szCs w:val="28"/>
        </w:rPr>
      </w:pPr>
      <w:r w:rsidRPr="000D4F8F">
        <w:rPr>
          <w:rFonts w:ascii="Times" w:hAnsi="Times"/>
          <w:b/>
          <w:bCs/>
          <w:sz w:val="28"/>
          <w:szCs w:val="28"/>
        </w:rPr>
        <w:t>Longitudinal analysis of serum cytokine levels and gut microbial abundance links IL-17/IL-22 with Clostridia and insulin sensitivity in humans</w:t>
      </w:r>
    </w:p>
    <w:p w14:paraId="51F38261" w14:textId="77777777" w:rsidR="000D4F8F" w:rsidRPr="000D4F8F" w:rsidRDefault="000D4F8F" w:rsidP="000D4F8F">
      <w:pPr>
        <w:spacing w:line="480" w:lineRule="auto"/>
        <w:rPr>
          <w:rFonts w:ascii="Times" w:hAnsi="Times"/>
          <w:b/>
          <w:bCs/>
          <w:sz w:val="28"/>
          <w:szCs w:val="28"/>
        </w:rPr>
      </w:pPr>
    </w:p>
    <w:p w14:paraId="76C17EA0" w14:textId="598A0A54" w:rsidR="00195BA0" w:rsidRPr="000D4F8F" w:rsidRDefault="000D4F8F" w:rsidP="000D4F8F">
      <w:pPr>
        <w:spacing w:line="480" w:lineRule="auto"/>
        <w:rPr>
          <w:rFonts w:ascii="Times" w:hAnsi="Times"/>
        </w:rPr>
      </w:pPr>
      <w:r w:rsidRPr="000D4F8F">
        <w:rPr>
          <w:rFonts w:ascii="Times" w:hAnsi="Times"/>
          <w:b/>
          <w:bCs/>
          <w:sz w:val="28"/>
          <w:szCs w:val="28"/>
        </w:rPr>
        <w:t>Zhou et al.</w:t>
      </w:r>
      <w:r w:rsidR="00195BA0">
        <w:rPr>
          <w:rFonts w:ascii="Times" w:hAnsi="Times"/>
        </w:rPr>
        <w:br w:type="page"/>
      </w:r>
    </w:p>
    <w:p w14:paraId="39D23DE5" w14:textId="52FE098E" w:rsidR="006E1A5A" w:rsidRPr="00E72666" w:rsidRDefault="006E1A5A" w:rsidP="006E1A5A">
      <w:pPr>
        <w:spacing w:line="360" w:lineRule="auto"/>
        <w:rPr>
          <w:rFonts w:ascii="Times" w:hAnsi="Times"/>
          <w:b/>
          <w:color w:val="000000" w:themeColor="text1"/>
          <w:u w:val="single"/>
        </w:rPr>
      </w:pPr>
      <w:r w:rsidRPr="00E72666">
        <w:rPr>
          <w:rFonts w:ascii="Times" w:hAnsi="Times"/>
          <w:b/>
          <w:color w:val="000000" w:themeColor="text1"/>
          <w:u w:val="single"/>
        </w:rPr>
        <w:lastRenderedPageBreak/>
        <w:t>Supplementary Analysis</w:t>
      </w:r>
    </w:p>
    <w:p w14:paraId="06D9FAA5" w14:textId="73713A9E" w:rsidR="006E1A5A" w:rsidRPr="00E72666" w:rsidRDefault="006E1A5A" w:rsidP="006E1A5A">
      <w:pPr>
        <w:spacing w:line="360" w:lineRule="auto"/>
        <w:rPr>
          <w:rFonts w:ascii="Times" w:hAnsi="Times"/>
          <w:color w:val="000000" w:themeColor="text1"/>
        </w:rPr>
      </w:pPr>
    </w:p>
    <w:p w14:paraId="25E51350" w14:textId="7C2AF780" w:rsidR="0057030E" w:rsidRPr="00E72666" w:rsidRDefault="006E1A5A" w:rsidP="006E1A5A">
      <w:pPr>
        <w:spacing w:line="360" w:lineRule="auto"/>
        <w:rPr>
          <w:rFonts w:ascii="Times" w:hAnsi="Times"/>
          <w:color w:val="000000" w:themeColor="text1"/>
        </w:rPr>
      </w:pPr>
      <w:r w:rsidRPr="00E72666">
        <w:rPr>
          <w:rFonts w:ascii="Times" w:hAnsi="Times"/>
          <w:color w:val="000000" w:themeColor="text1"/>
        </w:rPr>
        <w:t>The goal of th</w:t>
      </w:r>
      <w:r w:rsidR="00956972" w:rsidRPr="00E72666">
        <w:rPr>
          <w:rFonts w:ascii="Times" w:hAnsi="Times"/>
          <w:color w:val="000000" w:themeColor="text1"/>
        </w:rPr>
        <w:t xml:space="preserve">e </w:t>
      </w:r>
      <w:proofErr w:type="spellStart"/>
      <w:r w:rsidRPr="00E72666">
        <w:rPr>
          <w:rFonts w:ascii="Times" w:hAnsi="Times"/>
          <w:color w:val="000000" w:themeColor="text1"/>
        </w:rPr>
        <w:t>iHMP</w:t>
      </w:r>
      <w:proofErr w:type="spellEnd"/>
      <w:r w:rsidRPr="00E72666">
        <w:rPr>
          <w:rFonts w:ascii="Times" w:hAnsi="Times"/>
          <w:color w:val="000000" w:themeColor="text1"/>
        </w:rPr>
        <w:t xml:space="preserve"> study </w:t>
      </w:r>
      <w:r w:rsidR="00956972" w:rsidRPr="00E72666">
        <w:rPr>
          <w:rFonts w:ascii="Times" w:hAnsi="Times"/>
          <w:color w:val="000000" w:themeColor="text1"/>
        </w:rPr>
        <w:t xml:space="preserve">reported in the main text </w:t>
      </w:r>
      <w:r w:rsidRPr="00E72666">
        <w:rPr>
          <w:rFonts w:ascii="Times" w:hAnsi="Times"/>
          <w:color w:val="000000" w:themeColor="text1"/>
        </w:rPr>
        <w:t xml:space="preserve">was to investigate the relationship between IL-17/IL-22 and the gut microbiome in individuals at risk for Type 2 Diabetes. </w:t>
      </w:r>
      <w:r w:rsidR="00C900EF" w:rsidRPr="00E72666">
        <w:rPr>
          <w:rFonts w:ascii="Times" w:hAnsi="Times"/>
          <w:color w:val="000000" w:themeColor="text1"/>
        </w:rPr>
        <w:t xml:space="preserve">Due to the broad scope of the </w:t>
      </w:r>
      <w:proofErr w:type="spellStart"/>
      <w:r w:rsidR="00C900EF" w:rsidRPr="00E72666">
        <w:rPr>
          <w:rFonts w:ascii="Times" w:hAnsi="Times"/>
          <w:color w:val="000000" w:themeColor="text1"/>
        </w:rPr>
        <w:t>iHMP</w:t>
      </w:r>
      <w:proofErr w:type="spellEnd"/>
      <w:r w:rsidR="00C900EF" w:rsidRPr="00E72666">
        <w:rPr>
          <w:rFonts w:ascii="Times" w:hAnsi="Times"/>
          <w:color w:val="000000" w:themeColor="text1"/>
        </w:rPr>
        <w:t xml:space="preserve"> a</w:t>
      </w:r>
      <w:r w:rsidR="00F13FBC" w:rsidRPr="00E72666">
        <w:rPr>
          <w:rFonts w:ascii="Times" w:hAnsi="Times"/>
          <w:color w:val="000000" w:themeColor="text1"/>
        </w:rPr>
        <w:t xml:space="preserve">dditional </w:t>
      </w:r>
      <w:r w:rsidR="00C900EF" w:rsidRPr="00E72666">
        <w:rPr>
          <w:rFonts w:ascii="Times" w:hAnsi="Times"/>
          <w:color w:val="000000" w:themeColor="text1"/>
        </w:rPr>
        <w:t xml:space="preserve">data were collected for participants that were not the direct focus of this study. In particular, individuals self-reported </w:t>
      </w:r>
      <w:r w:rsidR="0057030E" w:rsidRPr="00E72666">
        <w:rPr>
          <w:rFonts w:ascii="Times" w:hAnsi="Times"/>
          <w:color w:val="000000" w:themeColor="text1"/>
        </w:rPr>
        <w:t xml:space="preserve">information about their general health, such as </w:t>
      </w:r>
      <w:r w:rsidR="00C900EF" w:rsidRPr="00E72666">
        <w:rPr>
          <w:rFonts w:ascii="Times" w:hAnsi="Times"/>
          <w:color w:val="000000" w:themeColor="text1"/>
        </w:rPr>
        <w:t xml:space="preserve">periods of unusual stress, </w:t>
      </w:r>
      <w:r w:rsidR="0057030E" w:rsidRPr="00E72666">
        <w:rPr>
          <w:rFonts w:ascii="Times" w:hAnsi="Times"/>
          <w:color w:val="000000" w:themeColor="text1"/>
        </w:rPr>
        <w:t>or the occurrence of an</w:t>
      </w:r>
      <w:r w:rsidR="00C900EF" w:rsidRPr="00E72666">
        <w:rPr>
          <w:rFonts w:ascii="Times" w:hAnsi="Times"/>
          <w:color w:val="000000" w:themeColor="text1"/>
        </w:rPr>
        <w:t xml:space="preserve"> upper respiratory infection</w:t>
      </w:r>
      <w:r w:rsidR="00956972" w:rsidRPr="00E72666">
        <w:rPr>
          <w:rFonts w:ascii="Times" w:hAnsi="Times"/>
          <w:color w:val="000000" w:themeColor="text1"/>
        </w:rPr>
        <w:t>. F</w:t>
      </w:r>
      <w:r w:rsidR="0057030E" w:rsidRPr="00E72666">
        <w:rPr>
          <w:rFonts w:ascii="Times" w:hAnsi="Times"/>
          <w:color w:val="000000" w:themeColor="text1"/>
        </w:rPr>
        <w:t xml:space="preserve">ull details of the information collected can be found in Zhou et al. 2019 and all data are available via the </w:t>
      </w:r>
      <w:proofErr w:type="spellStart"/>
      <w:r w:rsidR="0057030E" w:rsidRPr="00E72666">
        <w:rPr>
          <w:rFonts w:ascii="Times" w:hAnsi="Times"/>
          <w:color w:val="000000" w:themeColor="text1"/>
        </w:rPr>
        <w:t>iHMP</w:t>
      </w:r>
      <w:proofErr w:type="spellEnd"/>
      <w:r w:rsidR="0057030E" w:rsidRPr="00E72666">
        <w:rPr>
          <w:rFonts w:ascii="Times" w:hAnsi="Times"/>
          <w:color w:val="000000" w:themeColor="text1"/>
        </w:rPr>
        <w:t xml:space="preserve"> DACC </w:t>
      </w:r>
      <w:r w:rsidR="006D6CDE" w:rsidRPr="00E72666">
        <w:rPr>
          <w:rFonts w:ascii="Times" w:hAnsi="Times"/>
          <w:color w:val="000000" w:themeColor="text1"/>
        </w:rPr>
        <w:t>(</w:t>
      </w:r>
      <w:r w:rsidR="00956972" w:rsidRPr="00E72666">
        <w:rPr>
          <w:rFonts w:ascii="Times" w:hAnsi="Times"/>
          <w:color w:val="000000" w:themeColor="text1"/>
        </w:rPr>
        <w:t>https://</w:t>
      </w:r>
      <w:r w:rsidR="0057030E" w:rsidRPr="00E72666">
        <w:rPr>
          <w:rFonts w:ascii="Times" w:hAnsi="Times"/>
          <w:color w:val="000000" w:themeColor="text1"/>
        </w:rPr>
        <w:t>hmpdacc.org/ihmp</w:t>
      </w:r>
      <w:r w:rsidR="006D6CDE" w:rsidRPr="00E72666">
        <w:rPr>
          <w:rFonts w:ascii="Times" w:hAnsi="Times"/>
          <w:color w:val="000000" w:themeColor="text1"/>
        </w:rPr>
        <w:t>)</w:t>
      </w:r>
      <w:r w:rsidR="00956972" w:rsidRPr="00E72666">
        <w:rPr>
          <w:rFonts w:ascii="Times" w:hAnsi="Times"/>
          <w:color w:val="000000" w:themeColor="text1"/>
        </w:rPr>
        <w:t>.</w:t>
      </w:r>
      <w:r w:rsidR="0057030E" w:rsidRPr="00E72666">
        <w:rPr>
          <w:rFonts w:ascii="Times" w:hAnsi="Times"/>
          <w:color w:val="000000" w:themeColor="text1"/>
        </w:rPr>
        <w:t xml:space="preserve"> In this supplementary analysis we sought to determine whether participants self-reported health influenced their serum IL-17/IL-22 levels in a manner that may influence our study of metabolic inflammation reported in the main text. </w:t>
      </w:r>
    </w:p>
    <w:p w14:paraId="7E887A24" w14:textId="694A93DB" w:rsidR="0057030E" w:rsidRPr="00E72666" w:rsidRDefault="0057030E" w:rsidP="006E1A5A">
      <w:pPr>
        <w:spacing w:line="360" w:lineRule="auto"/>
        <w:rPr>
          <w:rFonts w:ascii="Times" w:hAnsi="Times"/>
          <w:color w:val="000000" w:themeColor="text1"/>
        </w:rPr>
      </w:pPr>
    </w:p>
    <w:p w14:paraId="1A35F21E" w14:textId="37180592" w:rsidR="00F11BA9" w:rsidRPr="00E72666" w:rsidRDefault="00956972" w:rsidP="00F11BA9">
      <w:pPr>
        <w:spacing w:line="360" w:lineRule="auto"/>
        <w:rPr>
          <w:rFonts w:ascii="Times" w:hAnsi="Times"/>
          <w:color w:val="000000" w:themeColor="text1"/>
        </w:rPr>
      </w:pPr>
      <w:r w:rsidRPr="00E72666">
        <w:rPr>
          <w:rFonts w:ascii="Times" w:hAnsi="Times"/>
          <w:color w:val="000000" w:themeColor="text1"/>
        </w:rPr>
        <w:t>Our first objective was to determine whether serum IL-17 or IL-22 levels were associated with an individual’s health stat</w:t>
      </w:r>
      <w:r w:rsidR="00F13FBC" w:rsidRPr="00E72666">
        <w:rPr>
          <w:rFonts w:ascii="Times" w:hAnsi="Times"/>
          <w:color w:val="000000" w:themeColor="text1"/>
        </w:rPr>
        <w:t>e</w:t>
      </w:r>
      <w:r w:rsidRPr="00E72666">
        <w:rPr>
          <w:rFonts w:ascii="Times" w:hAnsi="Times"/>
          <w:color w:val="000000" w:themeColor="text1"/>
        </w:rPr>
        <w:t xml:space="preserve"> during </w:t>
      </w:r>
      <w:r w:rsidR="00F13FBC" w:rsidRPr="00E72666">
        <w:rPr>
          <w:rFonts w:ascii="Times" w:hAnsi="Times"/>
          <w:color w:val="000000" w:themeColor="text1"/>
        </w:rPr>
        <w:t>the time</w:t>
      </w:r>
      <w:r w:rsidRPr="00E72666">
        <w:rPr>
          <w:rFonts w:ascii="Times" w:hAnsi="Times"/>
          <w:color w:val="000000" w:themeColor="text1"/>
        </w:rPr>
        <w:t xml:space="preserve"> </w:t>
      </w:r>
      <w:r w:rsidR="00F13FBC" w:rsidRPr="00E72666">
        <w:rPr>
          <w:rFonts w:ascii="Times" w:hAnsi="Times"/>
          <w:color w:val="000000" w:themeColor="text1"/>
        </w:rPr>
        <w:t xml:space="preserve">at </w:t>
      </w:r>
      <w:r w:rsidRPr="00E72666">
        <w:rPr>
          <w:rFonts w:ascii="Times" w:hAnsi="Times"/>
          <w:color w:val="000000" w:themeColor="text1"/>
        </w:rPr>
        <w:t xml:space="preserve">which cytokine and microbiome data were collected. </w:t>
      </w:r>
      <w:r w:rsidR="00F11BA9" w:rsidRPr="00E72666">
        <w:rPr>
          <w:rFonts w:ascii="Times" w:hAnsi="Times"/>
          <w:color w:val="000000" w:themeColor="text1"/>
        </w:rPr>
        <w:t>The effect of health status on individual cytokine abundance was modelled as:</w:t>
      </w:r>
    </w:p>
    <w:p w14:paraId="229625AB" w14:textId="77777777" w:rsidR="00F11BA9" w:rsidRPr="00E72666" w:rsidRDefault="00F11BA9" w:rsidP="00E15E2D">
      <w:pPr>
        <w:spacing w:line="360" w:lineRule="auto"/>
        <w:jc w:val="right"/>
        <w:rPr>
          <w:rFonts w:ascii="Times" w:hAnsi="Times"/>
          <w:i/>
          <w:color w:val="000000" w:themeColor="text1"/>
        </w:rPr>
      </w:pPr>
    </w:p>
    <w:p w14:paraId="752FD082" w14:textId="7FC32B5B" w:rsidR="00F11BA9" w:rsidRPr="00E72666" w:rsidRDefault="00F11BA9" w:rsidP="00E15E2D">
      <w:pPr>
        <w:spacing w:line="360" w:lineRule="auto"/>
        <w:jc w:val="right"/>
        <w:rPr>
          <w:rFonts w:ascii="Times" w:hAnsi="Times"/>
          <w:i/>
          <w:color w:val="000000" w:themeColor="text1"/>
        </w:rPr>
      </w:pPr>
      <w:r w:rsidRPr="00E72666">
        <w:rPr>
          <w:rFonts w:ascii="Times" w:hAnsi="Times"/>
          <w:i/>
          <w:color w:val="000000" w:themeColor="text1"/>
        </w:rPr>
        <w:t xml:space="preserve">cytokine ~ </w:t>
      </w:r>
      <w:proofErr w:type="spellStart"/>
      <w:r w:rsidRPr="00E72666">
        <w:rPr>
          <w:rFonts w:ascii="Times" w:hAnsi="Times"/>
          <w:i/>
          <w:color w:val="000000" w:themeColor="text1"/>
        </w:rPr>
        <w:t>Health_status</w:t>
      </w:r>
      <w:proofErr w:type="spellEnd"/>
      <w:r w:rsidRPr="00E72666">
        <w:rPr>
          <w:rFonts w:ascii="Times" w:hAnsi="Times"/>
          <w:i/>
          <w:color w:val="000000" w:themeColor="text1"/>
        </w:rPr>
        <w:t xml:space="preserve"> + (1|subject_id) + </w:t>
      </w:r>
      <w:proofErr w:type="spellStart"/>
      <w:r w:rsidRPr="00E72666">
        <w:rPr>
          <w:rFonts w:ascii="Times" w:hAnsi="Times"/>
          <w:i/>
          <w:color w:val="000000" w:themeColor="text1"/>
        </w:rPr>
        <w:t>Adj_age</w:t>
      </w:r>
      <w:proofErr w:type="spellEnd"/>
      <w:r w:rsidRPr="00E72666">
        <w:rPr>
          <w:rFonts w:ascii="Times" w:hAnsi="Times"/>
          <w:i/>
          <w:color w:val="000000" w:themeColor="text1"/>
        </w:rPr>
        <w:t xml:space="preserve"> + gender + BMI</w:t>
      </w:r>
    </w:p>
    <w:p w14:paraId="4C53684E" w14:textId="465EFEB1" w:rsidR="00956972" w:rsidRPr="00E72666" w:rsidRDefault="00956972" w:rsidP="006E1A5A">
      <w:pPr>
        <w:spacing w:line="360" w:lineRule="auto"/>
        <w:rPr>
          <w:rFonts w:ascii="Times" w:hAnsi="Times"/>
          <w:color w:val="000000" w:themeColor="text1"/>
        </w:rPr>
      </w:pPr>
    </w:p>
    <w:p w14:paraId="70AD6196" w14:textId="21714FB4" w:rsidR="00956972" w:rsidRPr="00E72666" w:rsidRDefault="00F11BA9" w:rsidP="00F11BA9">
      <w:pPr>
        <w:spacing w:line="360" w:lineRule="auto"/>
        <w:rPr>
          <w:rFonts w:ascii="Times" w:hAnsi="Times"/>
          <w:color w:val="000000" w:themeColor="text1"/>
        </w:rPr>
      </w:pPr>
      <w:r w:rsidRPr="00E72666">
        <w:rPr>
          <w:rFonts w:ascii="Times" w:hAnsi="Times"/>
          <w:color w:val="000000" w:themeColor="text1"/>
        </w:rPr>
        <w:t xml:space="preserve">Where cytokine refers to the Luminex MFI measurements for individual cytokines (IL-17A, IL-17F, IL-22). </w:t>
      </w:r>
      <w:proofErr w:type="spellStart"/>
      <w:r w:rsidR="00956972" w:rsidRPr="00E72666">
        <w:rPr>
          <w:rFonts w:ascii="Times" w:hAnsi="Times"/>
          <w:color w:val="000000" w:themeColor="text1"/>
        </w:rPr>
        <w:t>Health</w:t>
      </w:r>
      <w:r w:rsidRPr="00E72666">
        <w:rPr>
          <w:rFonts w:ascii="Times" w:hAnsi="Times"/>
          <w:color w:val="000000" w:themeColor="text1"/>
        </w:rPr>
        <w:t>_</w:t>
      </w:r>
      <w:r w:rsidR="00956972" w:rsidRPr="00E72666">
        <w:rPr>
          <w:rFonts w:ascii="Times" w:hAnsi="Times"/>
          <w:color w:val="000000" w:themeColor="text1"/>
        </w:rPr>
        <w:t>status</w:t>
      </w:r>
      <w:proofErr w:type="spellEnd"/>
      <w:r w:rsidR="00956972" w:rsidRPr="00E72666">
        <w:rPr>
          <w:rFonts w:ascii="Times" w:hAnsi="Times"/>
          <w:color w:val="000000" w:themeColor="text1"/>
        </w:rPr>
        <w:t xml:space="preserve"> was classified as either healthy, infection (denoting a self-reported upper respiratory infection), stressed (a</w:t>
      </w:r>
      <w:r w:rsidR="002C3589" w:rsidRPr="00E72666">
        <w:rPr>
          <w:rFonts w:ascii="Times" w:hAnsi="Times"/>
          <w:color w:val="000000" w:themeColor="text1"/>
        </w:rPr>
        <w:t xml:space="preserve"> self-reported</w:t>
      </w:r>
      <w:r w:rsidR="00956972" w:rsidRPr="00E72666">
        <w:rPr>
          <w:rFonts w:ascii="Times" w:hAnsi="Times"/>
          <w:color w:val="000000" w:themeColor="text1"/>
        </w:rPr>
        <w:t xml:space="preserve"> period of stress), or vaccination (</w:t>
      </w:r>
      <w:r w:rsidR="005549C3" w:rsidRPr="00E72666">
        <w:rPr>
          <w:rFonts w:ascii="Times" w:hAnsi="Times"/>
          <w:color w:val="000000" w:themeColor="text1"/>
        </w:rPr>
        <w:t xml:space="preserve">sample collected within 14 days of </w:t>
      </w:r>
      <w:r w:rsidR="002C3589" w:rsidRPr="00E72666">
        <w:rPr>
          <w:rFonts w:ascii="Times" w:hAnsi="Times"/>
          <w:color w:val="000000" w:themeColor="text1"/>
        </w:rPr>
        <w:t>influenza</w:t>
      </w:r>
      <w:r w:rsidR="002C3589" w:rsidRPr="00E72666">
        <w:rPr>
          <w:rStyle w:val="CommentReference"/>
          <w:rFonts w:ascii="Times" w:hAnsi="Times"/>
          <w:color w:val="000000" w:themeColor="text1"/>
          <w:sz w:val="24"/>
          <w:szCs w:val="24"/>
        </w:rPr>
        <w:t xml:space="preserve"> </w:t>
      </w:r>
      <w:proofErr w:type="spellStart"/>
      <w:r w:rsidR="002C3589" w:rsidRPr="00E72666">
        <w:rPr>
          <w:rStyle w:val="CommentReference"/>
          <w:rFonts w:ascii="Times" w:hAnsi="Times"/>
          <w:color w:val="000000" w:themeColor="text1"/>
          <w:sz w:val="24"/>
          <w:szCs w:val="24"/>
        </w:rPr>
        <w:t>v</w:t>
      </w:r>
      <w:r w:rsidR="002C3589" w:rsidRPr="00E72666">
        <w:rPr>
          <w:rFonts w:ascii="Times" w:hAnsi="Times"/>
          <w:color w:val="000000" w:themeColor="text1"/>
        </w:rPr>
        <w:t>ccination</w:t>
      </w:r>
      <w:proofErr w:type="spellEnd"/>
      <w:r w:rsidR="00956972" w:rsidRPr="00E72666">
        <w:rPr>
          <w:rFonts w:ascii="Times" w:hAnsi="Times"/>
          <w:color w:val="000000" w:themeColor="text1"/>
        </w:rPr>
        <w:t xml:space="preserve">).  </w:t>
      </w:r>
      <w:proofErr w:type="spellStart"/>
      <w:r w:rsidRPr="00E72666">
        <w:rPr>
          <w:rFonts w:ascii="Times" w:hAnsi="Times"/>
          <w:color w:val="000000" w:themeColor="text1"/>
        </w:rPr>
        <w:t>Adj_age</w:t>
      </w:r>
      <w:proofErr w:type="spellEnd"/>
      <w:r w:rsidRPr="00E72666">
        <w:rPr>
          <w:rFonts w:ascii="Times" w:hAnsi="Times"/>
          <w:color w:val="000000" w:themeColor="text1"/>
        </w:rPr>
        <w:t xml:space="preserve"> was the median age of the study participant during the period over which data were collected. BMI was body mass index of the study participant.</w:t>
      </w:r>
    </w:p>
    <w:p w14:paraId="4E2C0054" w14:textId="37BC3A9E" w:rsidR="0057030E" w:rsidRPr="00E72666" w:rsidRDefault="0057030E" w:rsidP="006E1A5A">
      <w:pPr>
        <w:spacing w:line="360" w:lineRule="auto"/>
        <w:rPr>
          <w:rFonts w:ascii="Times" w:hAnsi="Times"/>
          <w:color w:val="000000" w:themeColor="text1"/>
        </w:rPr>
      </w:pPr>
    </w:p>
    <w:p w14:paraId="4B219A49" w14:textId="5805F331" w:rsidR="00F11BA9" w:rsidRPr="00E72666" w:rsidRDefault="00F11BA9" w:rsidP="006E1A5A">
      <w:pPr>
        <w:spacing w:line="360" w:lineRule="auto"/>
        <w:rPr>
          <w:rFonts w:ascii="Times" w:hAnsi="Times"/>
          <w:color w:val="000000" w:themeColor="text1"/>
        </w:rPr>
      </w:pPr>
      <w:r w:rsidRPr="00E72666">
        <w:rPr>
          <w:rFonts w:ascii="Times" w:hAnsi="Times"/>
          <w:color w:val="000000" w:themeColor="text1"/>
        </w:rPr>
        <w:t xml:space="preserve">As individuals were also sampled more intensively during periods of upper respiratory infection, we additionally sought to determine whether serum cytokine levels were associated with the stage of an infection. In this case the effect of infection on individual cytokine abundance was modelled as: </w:t>
      </w:r>
    </w:p>
    <w:p w14:paraId="774F81EE" w14:textId="40386D37" w:rsidR="00F11BA9" w:rsidRPr="00E72666" w:rsidRDefault="00F11BA9" w:rsidP="006E1A5A">
      <w:pPr>
        <w:spacing w:line="360" w:lineRule="auto"/>
        <w:rPr>
          <w:rFonts w:ascii="Times" w:hAnsi="Times"/>
          <w:color w:val="000000" w:themeColor="text1"/>
        </w:rPr>
      </w:pPr>
    </w:p>
    <w:p w14:paraId="4FC2A43B" w14:textId="1BBCA39A" w:rsidR="00F11BA9" w:rsidRPr="00E72666" w:rsidRDefault="00F11BA9" w:rsidP="00E15E2D">
      <w:pPr>
        <w:spacing w:line="360" w:lineRule="auto"/>
        <w:jc w:val="right"/>
        <w:rPr>
          <w:rFonts w:ascii="Times" w:hAnsi="Times"/>
          <w:i/>
          <w:color w:val="000000" w:themeColor="text1"/>
        </w:rPr>
      </w:pPr>
      <w:r w:rsidRPr="00E72666">
        <w:rPr>
          <w:rFonts w:ascii="Times" w:hAnsi="Times"/>
          <w:i/>
          <w:color w:val="000000" w:themeColor="text1"/>
        </w:rPr>
        <w:t xml:space="preserve">cytokine ~ </w:t>
      </w:r>
      <w:proofErr w:type="spellStart"/>
      <w:r w:rsidRPr="00E72666">
        <w:rPr>
          <w:rFonts w:ascii="Times" w:hAnsi="Times"/>
          <w:i/>
          <w:color w:val="000000" w:themeColor="text1"/>
        </w:rPr>
        <w:t>Infection_state</w:t>
      </w:r>
      <w:proofErr w:type="spellEnd"/>
      <w:r w:rsidRPr="00E72666">
        <w:rPr>
          <w:rFonts w:ascii="Times" w:hAnsi="Times"/>
          <w:i/>
          <w:color w:val="000000" w:themeColor="text1"/>
        </w:rPr>
        <w:t xml:space="preserve"> + (1|subject_id) + </w:t>
      </w:r>
      <w:proofErr w:type="spellStart"/>
      <w:r w:rsidRPr="00E72666">
        <w:rPr>
          <w:rFonts w:ascii="Times" w:hAnsi="Times"/>
          <w:i/>
          <w:color w:val="000000" w:themeColor="text1"/>
        </w:rPr>
        <w:t>Adj_age</w:t>
      </w:r>
      <w:proofErr w:type="spellEnd"/>
      <w:r w:rsidRPr="00E72666">
        <w:rPr>
          <w:rFonts w:ascii="Times" w:hAnsi="Times"/>
          <w:i/>
          <w:color w:val="000000" w:themeColor="text1"/>
        </w:rPr>
        <w:t xml:space="preserve"> + gender + BMI</w:t>
      </w:r>
    </w:p>
    <w:p w14:paraId="0CB57AE5" w14:textId="77777777" w:rsidR="00E15E2D" w:rsidRPr="00E72666" w:rsidRDefault="00E15E2D" w:rsidP="006E1A5A">
      <w:pPr>
        <w:spacing w:line="360" w:lineRule="auto"/>
        <w:rPr>
          <w:rFonts w:ascii="Times" w:hAnsi="Times"/>
          <w:color w:val="000000" w:themeColor="text1"/>
        </w:rPr>
      </w:pPr>
    </w:p>
    <w:p w14:paraId="2EDD1799" w14:textId="52AB324C" w:rsidR="00F11BA9" w:rsidRPr="00E72666" w:rsidRDefault="00F11BA9" w:rsidP="006E1A5A">
      <w:pPr>
        <w:spacing w:line="360" w:lineRule="auto"/>
        <w:rPr>
          <w:rFonts w:ascii="Times" w:hAnsi="Times"/>
          <w:color w:val="000000" w:themeColor="text1"/>
        </w:rPr>
      </w:pPr>
      <w:r w:rsidRPr="00E72666">
        <w:rPr>
          <w:rFonts w:ascii="Times" w:hAnsi="Times"/>
          <w:color w:val="000000" w:themeColor="text1"/>
        </w:rPr>
        <w:t xml:space="preserve">Where </w:t>
      </w:r>
      <w:proofErr w:type="spellStart"/>
      <w:r w:rsidRPr="00E72666">
        <w:rPr>
          <w:rFonts w:ascii="Times" w:hAnsi="Times"/>
          <w:color w:val="000000" w:themeColor="text1"/>
        </w:rPr>
        <w:t>Infection_state</w:t>
      </w:r>
      <w:proofErr w:type="spellEnd"/>
      <w:r w:rsidRPr="00E72666">
        <w:rPr>
          <w:rFonts w:ascii="Times" w:hAnsi="Times"/>
          <w:color w:val="000000" w:themeColor="text1"/>
        </w:rPr>
        <w:t xml:space="preserve"> could be either pre (denoting the nearest healthy time point preceding an upper respiratory infection), early, late, post (denoting the nearest healthy time point following an infection)</w:t>
      </w:r>
      <w:r w:rsidR="008A0120" w:rsidRPr="00E72666">
        <w:rPr>
          <w:rFonts w:ascii="Times" w:hAnsi="Times"/>
          <w:color w:val="000000" w:themeColor="text1"/>
        </w:rPr>
        <w:t xml:space="preserve">, or </w:t>
      </w:r>
      <w:proofErr w:type="spellStart"/>
      <w:r w:rsidR="008A0120" w:rsidRPr="00E72666">
        <w:rPr>
          <w:rFonts w:ascii="Times" w:hAnsi="Times"/>
          <w:color w:val="000000" w:themeColor="text1"/>
        </w:rPr>
        <w:t>healthy_other</w:t>
      </w:r>
      <w:proofErr w:type="spellEnd"/>
      <w:r w:rsidR="008A0120" w:rsidRPr="00E72666">
        <w:rPr>
          <w:rFonts w:ascii="Times" w:hAnsi="Times"/>
          <w:color w:val="000000" w:themeColor="text1"/>
        </w:rPr>
        <w:t xml:space="preserve"> (denoting all other healthy time points)</w:t>
      </w:r>
      <w:r w:rsidRPr="00E72666">
        <w:rPr>
          <w:rFonts w:ascii="Times" w:hAnsi="Times"/>
          <w:color w:val="000000" w:themeColor="text1"/>
        </w:rPr>
        <w:t xml:space="preserve">. All other model terms were as described above. In both analyses, linear modelling was performed using the R package lme4, as described in the main text. </w:t>
      </w:r>
    </w:p>
    <w:p w14:paraId="4045FC41" w14:textId="64F035DC" w:rsidR="00F11BA9" w:rsidRPr="00E72666" w:rsidRDefault="00F11BA9" w:rsidP="006E1A5A">
      <w:pPr>
        <w:spacing w:line="360" w:lineRule="auto"/>
        <w:rPr>
          <w:rFonts w:ascii="Times" w:hAnsi="Times"/>
          <w:color w:val="000000" w:themeColor="text1"/>
        </w:rPr>
      </w:pPr>
    </w:p>
    <w:p w14:paraId="18C4B6DA" w14:textId="3F5639EC" w:rsidR="00FF7929" w:rsidRPr="00E72666" w:rsidRDefault="00FF7929" w:rsidP="006E1A5A">
      <w:pPr>
        <w:spacing w:line="360" w:lineRule="auto"/>
        <w:rPr>
          <w:rFonts w:ascii="Times" w:hAnsi="Times"/>
          <w:color w:val="000000" w:themeColor="text1"/>
        </w:rPr>
      </w:pPr>
      <w:r w:rsidRPr="00E72666">
        <w:rPr>
          <w:rFonts w:ascii="Times" w:hAnsi="Times"/>
          <w:color w:val="000000" w:themeColor="text1"/>
        </w:rPr>
        <w:t>In all models neither the health status of an individual</w:t>
      </w:r>
      <w:r w:rsidR="00850EEF" w:rsidRPr="00E72666">
        <w:rPr>
          <w:rFonts w:ascii="Times" w:hAnsi="Times"/>
          <w:color w:val="000000" w:themeColor="text1"/>
        </w:rPr>
        <w:t xml:space="preserve"> (</w:t>
      </w:r>
      <w:r w:rsidR="00850EEF" w:rsidRPr="00E72666">
        <w:rPr>
          <w:rFonts w:ascii="Times" w:hAnsi="Times"/>
          <w:b/>
          <w:color w:val="000000" w:themeColor="text1"/>
        </w:rPr>
        <w:t>Supplementary Fi</w:t>
      </w:r>
      <w:r w:rsidR="00442FCC" w:rsidRPr="00E72666">
        <w:rPr>
          <w:rFonts w:ascii="Times" w:hAnsi="Times"/>
          <w:b/>
          <w:color w:val="000000" w:themeColor="text1"/>
        </w:rPr>
        <w:t>g.</w:t>
      </w:r>
      <w:r w:rsidR="00850EEF" w:rsidRPr="00E72666">
        <w:rPr>
          <w:rFonts w:ascii="Times" w:hAnsi="Times"/>
          <w:b/>
          <w:color w:val="000000" w:themeColor="text1"/>
        </w:rPr>
        <w:t xml:space="preserve"> </w:t>
      </w:r>
      <w:r w:rsidR="00442FCC" w:rsidRPr="00E72666">
        <w:rPr>
          <w:rFonts w:ascii="Times" w:hAnsi="Times"/>
          <w:b/>
          <w:color w:val="000000" w:themeColor="text1"/>
        </w:rPr>
        <w:t>5</w:t>
      </w:r>
      <w:r w:rsidR="00850EEF" w:rsidRPr="00E72666">
        <w:rPr>
          <w:rFonts w:ascii="Times" w:hAnsi="Times"/>
          <w:b/>
          <w:color w:val="000000" w:themeColor="text1"/>
        </w:rPr>
        <w:t>a</w:t>
      </w:r>
      <w:r w:rsidR="00850EEF" w:rsidRPr="00E72666">
        <w:rPr>
          <w:rFonts w:ascii="Times" w:hAnsi="Times"/>
          <w:color w:val="000000" w:themeColor="text1"/>
        </w:rPr>
        <w:t>)</w:t>
      </w:r>
      <w:r w:rsidRPr="00E72666">
        <w:rPr>
          <w:rFonts w:ascii="Times" w:hAnsi="Times"/>
          <w:color w:val="000000" w:themeColor="text1"/>
        </w:rPr>
        <w:t>, nor the stage of an</w:t>
      </w:r>
      <w:r w:rsidR="00850EEF" w:rsidRPr="00E72666">
        <w:rPr>
          <w:rFonts w:ascii="Times" w:hAnsi="Times"/>
          <w:color w:val="000000" w:themeColor="text1"/>
        </w:rPr>
        <w:t xml:space="preserve"> upper respiratory</w:t>
      </w:r>
      <w:r w:rsidRPr="00E72666">
        <w:rPr>
          <w:rFonts w:ascii="Times" w:hAnsi="Times"/>
          <w:color w:val="000000" w:themeColor="text1"/>
        </w:rPr>
        <w:t xml:space="preserve"> infection </w:t>
      </w:r>
      <w:r w:rsidR="00850EEF" w:rsidRPr="00E72666">
        <w:rPr>
          <w:rFonts w:ascii="Times" w:hAnsi="Times"/>
          <w:color w:val="000000" w:themeColor="text1"/>
        </w:rPr>
        <w:t>(</w:t>
      </w:r>
      <w:r w:rsidR="00850EEF" w:rsidRPr="00E72666">
        <w:rPr>
          <w:rFonts w:ascii="Times" w:hAnsi="Times"/>
          <w:b/>
          <w:color w:val="000000" w:themeColor="text1"/>
        </w:rPr>
        <w:t>Supplementary Fig</w:t>
      </w:r>
      <w:r w:rsidR="00442FCC" w:rsidRPr="00E72666">
        <w:rPr>
          <w:rFonts w:ascii="Times" w:hAnsi="Times"/>
          <w:b/>
          <w:color w:val="000000" w:themeColor="text1"/>
        </w:rPr>
        <w:t>. 5</w:t>
      </w:r>
      <w:r w:rsidR="00850EEF" w:rsidRPr="00E72666">
        <w:rPr>
          <w:rFonts w:ascii="Times" w:hAnsi="Times"/>
          <w:b/>
          <w:color w:val="000000" w:themeColor="text1"/>
        </w:rPr>
        <w:t>b</w:t>
      </w:r>
      <w:r w:rsidR="00850EEF" w:rsidRPr="00E72666">
        <w:rPr>
          <w:rFonts w:ascii="Times" w:hAnsi="Times"/>
          <w:color w:val="000000" w:themeColor="text1"/>
        </w:rPr>
        <w:t xml:space="preserve">) </w:t>
      </w:r>
      <w:r w:rsidRPr="00E72666">
        <w:rPr>
          <w:rFonts w:ascii="Times" w:hAnsi="Times"/>
          <w:color w:val="000000" w:themeColor="text1"/>
        </w:rPr>
        <w:t>had a significant effect on the abundance of serum cytokine levels. On this basis we concluded t</w:t>
      </w:r>
      <w:r w:rsidR="00F13FBC" w:rsidRPr="00E72666">
        <w:rPr>
          <w:rFonts w:ascii="Times" w:hAnsi="Times"/>
          <w:color w:val="000000" w:themeColor="text1"/>
        </w:rPr>
        <w:t>hat neither health state nor infection stage exerted a strong effect on the relationship between cytokines and gut microbiota reported in the main text.</w:t>
      </w:r>
    </w:p>
    <w:p w14:paraId="2E6678A6" w14:textId="77777777" w:rsidR="00FF7929" w:rsidRPr="00E72666" w:rsidRDefault="00FF7929" w:rsidP="006E1A5A">
      <w:pPr>
        <w:spacing w:line="360" w:lineRule="auto"/>
        <w:rPr>
          <w:rFonts w:ascii="Times" w:hAnsi="Times"/>
          <w:color w:val="000000" w:themeColor="text1"/>
        </w:rPr>
      </w:pPr>
    </w:p>
    <w:p w14:paraId="6E4F2BEF" w14:textId="1A95094F" w:rsidR="00FF7929" w:rsidRPr="00E72666" w:rsidRDefault="00FF7929" w:rsidP="006E1A5A">
      <w:pPr>
        <w:spacing w:line="360" w:lineRule="auto"/>
        <w:rPr>
          <w:rFonts w:ascii="Times" w:eastAsiaTheme="minorHAnsi" w:hAnsi="Times"/>
          <w:color w:val="000000" w:themeColor="text1"/>
          <w:lang w:eastAsia="zh-CN"/>
        </w:rPr>
      </w:pPr>
      <w:r w:rsidRPr="00E72666">
        <w:rPr>
          <w:rFonts w:ascii="Times" w:hAnsi="Times"/>
          <w:color w:val="000000" w:themeColor="text1"/>
        </w:rPr>
        <w:t xml:space="preserve">To provide an additional perspective on the relationship between cytokine abundance and </w:t>
      </w:r>
      <w:r w:rsidR="00850EEF" w:rsidRPr="00E72666">
        <w:rPr>
          <w:rFonts w:ascii="Times" w:hAnsi="Times"/>
          <w:color w:val="000000" w:themeColor="text1"/>
        </w:rPr>
        <w:t>health or infection status</w:t>
      </w:r>
      <w:r w:rsidRPr="00E72666">
        <w:rPr>
          <w:rFonts w:ascii="Times" w:hAnsi="Times"/>
          <w:color w:val="000000" w:themeColor="text1"/>
        </w:rPr>
        <w:t xml:space="preserve">, we </w:t>
      </w:r>
      <w:r w:rsidR="00F13FBC" w:rsidRPr="00E72666">
        <w:rPr>
          <w:rFonts w:ascii="Times" w:hAnsi="Times"/>
          <w:color w:val="000000" w:themeColor="text1"/>
        </w:rPr>
        <w:t xml:space="preserve">also </w:t>
      </w:r>
      <w:r w:rsidRPr="00E72666">
        <w:rPr>
          <w:rFonts w:ascii="Times" w:hAnsi="Times"/>
          <w:color w:val="000000" w:themeColor="text1"/>
        </w:rPr>
        <w:t>plotted cytokine abundance against health status (</w:t>
      </w:r>
      <w:r w:rsidRPr="00E72666">
        <w:rPr>
          <w:rFonts w:ascii="Times" w:hAnsi="Times"/>
          <w:b/>
          <w:color w:val="000000" w:themeColor="text1"/>
        </w:rPr>
        <w:t>Supplementary Fig</w:t>
      </w:r>
      <w:r w:rsidR="00442FCC" w:rsidRPr="00E72666">
        <w:rPr>
          <w:rFonts w:ascii="Times" w:hAnsi="Times"/>
          <w:b/>
          <w:color w:val="000000" w:themeColor="text1"/>
        </w:rPr>
        <w:t>.</w:t>
      </w:r>
      <w:r w:rsidRPr="00E72666">
        <w:rPr>
          <w:rFonts w:ascii="Times" w:hAnsi="Times"/>
          <w:b/>
          <w:color w:val="000000" w:themeColor="text1"/>
        </w:rPr>
        <w:t xml:space="preserve"> </w:t>
      </w:r>
      <w:r w:rsidR="00442FCC" w:rsidRPr="00E72666">
        <w:rPr>
          <w:rFonts w:ascii="Times" w:hAnsi="Times"/>
          <w:b/>
          <w:color w:val="000000" w:themeColor="text1"/>
        </w:rPr>
        <w:t>6</w:t>
      </w:r>
      <w:r w:rsidR="00850EEF" w:rsidRPr="00E72666">
        <w:rPr>
          <w:rFonts w:ascii="Times" w:hAnsi="Times"/>
          <w:b/>
          <w:color w:val="000000" w:themeColor="text1"/>
        </w:rPr>
        <w:t>a</w:t>
      </w:r>
      <w:r w:rsidRPr="00E72666">
        <w:rPr>
          <w:rFonts w:ascii="Times" w:hAnsi="Times"/>
          <w:color w:val="000000" w:themeColor="text1"/>
        </w:rPr>
        <w:t>) and infection stage (</w:t>
      </w:r>
      <w:r w:rsidRPr="00E72666">
        <w:rPr>
          <w:rFonts w:ascii="Times" w:hAnsi="Times"/>
          <w:b/>
          <w:color w:val="000000" w:themeColor="text1"/>
        </w:rPr>
        <w:t>Supplementary Fig</w:t>
      </w:r>
      <w:r w:rsidR="00442FCC" w:rsidRPr="00E72666">
        <w:rPr>
          <w:rFonts w:ascii="Times" w:hAnsi="Times"/>
          <w:b/>
          <w:color w:val="000000" w:themeColor="text1"/>
        </w:rPr>
        <w:t>.</w:t>
      </w:r>
      <w:r w:rsidRPr="00E72666">
        <w:rPr>
          <w:rFonts w:ascii="Times" w:hAnsi="Times"/>
          <w:b/>
          <w:color w:val="000000" w:themeColor="text1"/>
        </w:rPr>
        <w:t xml:space="preserve"> </w:t>
      </w:r>
      <w:r w:rsidR="00442FCC" w:rsidRPr="00E72666">
        <w:rPr>
          <w:rFonts w:ascii="Times" w:hAnsi="Times"/>
          <w:b/>
          <w:color w:val="000000" w:themeColor="text1"/>
        </w:rPr>
        <w:t>6</w:t>
      </w:r>
      <w:r w:rsidR="00850EEF" w:rsidRPr="00E72666">
        <w:rPr>
          <w:rFonts w:ascii="Times" w:hAnsi="Times"/>
          <w:b/>
          <w:color w:val="000000" w:themeColor="text1"/>
        </w:rPr>
        <w:t>b</w:t>
      </w:r>
      <w:r w:rsidRPr="00E72666">
        <w:rPr>
          <w:rFonts w:ascii="Times" w:hAnsi="Times"/>
          <w:color w:val="000000" w:themeColor="text1"/>
        </w:rPr>
        <w:t>)</w:t>
      </w:r>
      <w:r w:rsidR="00850EEF" w:rsidRPr="00E72666">
        <w:rPr>
          <w:rFonts w:ascii="Times" w:hAnsi="Times"/>
          <w:color w:val="000000" w:themeColor="text1"/>
        </w:rPr>
        <w:t xml:space="preserve">. We </w:t>
      </w:r>
      <w:r w:rsidRPr="00E72666">
        <w:rPr>
          <w:rFonts w:ascii="Times" w:hAnsi="Times"/>
          <w:color w:val="000000" w:themeColor="text1"/>
        </w:rPr>
        <w:t xml:space="preserve">performed pairwise t-tests to determine whether </w:t>
      </w:r>
      <w:r w:rsidR="00850EEF" w:rsidRPr="00E72666">
        <w:rPr>
          <w:rFonts w:ascii="Times" w:hAnsi="Times"/>
          <w:color w:val="000000" w:themeColor="text1"/>
        </w:rPr>
        <w:t xml:space="preserve">the </w:t>
      </w:r>
      <w:r w:rsidRPr="00E72666">
        <w:rPr>
          <w:rFonts w:ascii="Times" w:hAnsi="Times"/>
          <w:color w:val="000000" w:themeColor="text1"/>
        </w:rPr>
        <w:t xml:space="preserve">cytokine abundance </w:t>
      </w:r>
      <w:r w:rsidR="00850EEF" w:rsidRPr="00E72666">
        <w:rPr>
          <w:rFonts w:ascii="Times" w:hAnsi="Times"/>
          <w:color w:val="000000" w:themeColor="text1"/>
        </w:rPr>
        <w:t xml:space="preserve">at each </w:t>
      </w:r>
      <w:r w:rsidRPr="00E72666">
        <w:rPr>
          <w:rFonts w:ascii="Times" w:hAnsi="Times"/>
          <w:color w:val="000000" w:themeColor="text1"/>
        </w:rPr>
        <w:t xml:space="preserve">state was significantly different from the mean cytokine abundance across the entire study population. </w:t>
      </w:r>
      <w:r w:rsidR="00850EEF" w:rsidRPr="00E72666">
        <w:rPr>
          <w:rFonts w:ascii="Times" w:hAnsi="Times"/>
          <w:color w:val="000000" w:themeColor="text1"/>
        </w:rPr>
        <w:t>Serum IL-22 levels were found to be significantly lower during early infection (p</w:t>
      </w:r>
      <w:r w:rsidR="00442FCC" w:rsidRPr="00E72666">
        <w:rPr>
          <w:rFonts w:ascii="Times" w:hAnsi="Times"/>
          <w:color w:val="000000" w:themeColor="text1"/>
        </w:rPr>
        <w:t>&lt;0.01</w:t>
      </w:r>
      <w:r w:rsidR="00850EEF" w:rsidRPr="00E72666">
        <w:rPr>
          <w:rFonts w:ascii="Times" w:hAnsi="Times"/>
          <w:color w:val="000000" w:themeColor="text1"/>
        </w:rPr>
        <w:t xml:space="preserve">); however, this result was not significant at </w:t>
      </w:r>
      <w:r w:rsidR="00850EEF" w:rsidRPr="00E72666">
        <w:rPr>
          <w:rFonts w:ascii="Cambria Math" w:eastAsiaTheme="minorHAnsi" w:hAnsi="Cambria Math" w:cs="Cambria Math"/>
          <w:color w:val="000000" w:themeColor="text1"/>
          <w:lang w:eastAsia="zh-CN"/>
        </w:rPr>
        <w:t>ɑ</w:t>
      </w:r>
      <w:r w:rsidR="00850EEF" w:rsidRPr="00E72666">
        <w:rPr>
          <w:rFonts w:ascii="Times" w:eastAsiaTheme="minorHAnsi" w:hAnsi="Times"/>
          <w:color w:val="000000" w:themeColor="text1"/>
          <w:lang w:eastAsia="zh-CN"/>
        </w:rPr>
        <w:t>=0.0</w:t>
      </w:r>
      <w:r w:rsidR="00442FCC" w:rsidRPr="00E72666">
        <w:rPr>
          <w:rFonts w:ascii="Times" w:eastAsiaTheme="minorHAnsi" w:hAnsi="Times"/>
          <w:color w:val="000000" w:themeColor="text1"/>
          <w:lang w:eastAsia="zh-CN"/>
        </w:rPr>
        <w:t>1</w:t>
      </w:r>
      <w:r w:rsidR="00850EEF" w:rsidRPr="00E72666">
        <w:rPr>
          <w:rFonts w:ascii="Times" w:eastAsiaTheme="minorHAnsi" w:hAnsi="Times"/>
          <w:color w:val="000000" w:themeColor="text1"/>
          <w:lang w:eastAsia="zh-CN"/>
        </w:rPr>
        <w:t xml:space="preserve"> following multiple testing correction. </w:t>
      </w:r>
    </w:p>
    <w:p w14:paraId="338FEA89" w14:textId="33254770" w:rsidR="00850EEF" w:rsidRPr="00E72666" w:rsidRDefault="00850EEF" w:rsidP="006E1A5A">
      <w:pPr>
        <w:spacing w:line="360" w:lineRule="auto"/>
        <w:rPr>
          <w:rFonts w:ascii="Times" w:hAnsi="Times"/>
          <w:color w:val="000000" w:themeColor="text1"/>
          <w:lang w:eastAsia="zh-CN"/>
        </w:rPr>
      </w:pPr>
    </w:p>
    <w:p w14:paraId="383259F9" w14:textId="0AE2AA2F" w:rsidR="00850EEF" w:rsidRPr="00D966C1" w:rsidRDefault="00850EEF" w:rsidP="006E1A5A">
      <w:pPr>
        <w:spacing w:line="360" w:lineRule="auto"/>
        <w:rPr>
          <w:rFonts w:ascii="Times" w:hAnsi="Times"/>
          <w:color w:val="FF0000"/>
          <w:u w:val="single"/>
          <w:lang w:eastAsia="zh-CN"/>
        </w:rPr>
      </w:pPr>
      <w:r w:rsidRPr="00E72666">
        <w:rPr>
          <w:rFonts w:ascii="Times" w:hAnsi="Times"/>
          <w:color w:val="000000" w:themeColor="text1"/>
          <w:lang w:eastAsia="zh-CN"/>
        </w:rPr>
        <w:t xml:space="preserve">Finally, we also sought to determine whether any of the three IL-17/IL-22 activity groups identified in the main text contained individuals </w:t>
      </w:r>
      <w:r w:rsidR="007B61B8" w:rsidRPr="00E72666">
        <w:rPr>
          <w:rFonts w:ascii="Times" w:hAnsi="Times"/>
          <w:color w:val="000000" w:themeColor="text1"/>
          <w:lang w:eastAsia="zh-CN"/>
        </w:rPr>
        <w:t>reporting</w:t>
      </w:r>
      <w:r w:rsidRPr="00E72666">
        <w:rPr>
          <w:rFonts w:ascii="Times" w:hAnsi="Times"/>
          <w:color w:val="000000" w:themeColor="text1"/>
          <w:lang w:eastAsia="zh-CN"/>
        </w:rPr>
        <w:t xml:space="preserve"> a disproportionate occurrence of one or more health state (</w:t>
      </w:r>
      <w:r w:rsidRPr="00E72666">
        <w:rPr>
          <w:rFonts w:ascii="Times" w:hAnsi="Times"/>
          <w:b/>
          <w:color w:val="000000" w:themeColor="text1"/>
          <w:lang w:eastAsia="zh-CN"/>
        </w:rPr>
        <w:t>Supplementary Fig</w:t>
      </w:r>
      <w:r w:rsidR="00442FCC" w:rsidRPr="00E72666">
        <w:rPr>
          <w:rFonts w:ascii="Times" w:hAnsi="Times"/>
          <w:b/>
          <w:color w:val="000000" w:themeColor="text1"/>
          <w:lang w:eastAsia="zh-CN"/>
        </w:rPr>
        <w:t>. 7</w:t>
      </w:r>
      <w:r w:rsidRPr="00E72666">
        <w:rPr>
          <w:rFonts w:ascii="Times" w:hAnsi="Times"/>
          <w:color w:val="000000" w:themeColor="text1"/>
          <w:lang w:eastAsia="zh-CN"/>
        </w:rPr>
        <w:t xml:space="preserve">). </w:t>
      </w:r>
      <w:r w:rsidR="007B61B8" w:rsidRPr="00E72666">
        <w:rPr>
          <w:rFonts w:ascii="Times" w:hAnsi="Times"/>
          <w:color w:val="000000" w:themeColor="text1"/>
          <w:lang w:eastAsia="zh-CN"/>
        </w:rPr>
        <w:t>A chi-squared test found no significant difference in the proportion of each visit type across groups (</w:t>
      </w:r>
      <w:r w:rsidR="00AD3D92" w:rsidRPr="00E72666">
        <w:rPr>
          <w:rFonts w:ascii="Times" w:hAnsi="Times"/>
          <w:color w:val="000000" w:themeColor="text1"/>
          <w:lang w:eastAsia="zh-CN"/>
        </w:rPr>
        <w:t>X-squared = 0.0010707, df = 1, p-value = 0.9739</w:t>
      </w:r>
      <w:r w:rsidR="007B61B8" w:rsidRPr="00E72666">
        <w:rPr>
          <w:rFonts w:ascii="Times" w:hAnsi="Times"/>
          <w:color w:val="000000" w:themeColor="text1"/>
          <w:lang w:eastAsia="zh-CN"/>
        </w:rPr>
        <w:t xml:space="preserve">). This result indicated that any previously undetected effect of health status on serum cytokine levels was unlikely to have exerted a disproportionate effect on either IL-17/IL-22 active, or IL-17/IL-22 inactive individuals. </w:t>
      </w:r>
    </w:p>
    <w:p w14:paraId="1E64E71D" w14:textId="20031895" w:rsidR="0057752B" w:rsidRDefault="0057752B">
      <w:pPr>
        <w:rPr>
          <w:rFonts w:ascii="Times" w:hAnsi="Times"/>
          <w:lang w:eastAsia="zh-CN"/>
        </w:rPr>
      </w:pPr>
      <w:r>
        <w:rPr>
          <w:rFonts w:ascii="Times" w:hAnsi="Times"/>
          <w:lang w:eastAsia="zh-CN"/>
        </w:rPr>
        <w:br w:type="page"/>
      </w:r>
    </w:p>
    <w:p w14:paraId="31D2C5D3" w14:textId="09768CAF" w:rsidR="0057752B" w:rsidRPr="00E72666" w:rsidRDefault="0057752B" w:rsidP="006E1A5A">
      <w:pPr>
        <w:spacing w:line="360" w:lineRule="auto"/>
        <w:rPr>
          <w:rFonts w:ascii="Times" w:hAnsi="Times"/>
          <w:b/>
          <w:u w:val="single"/>
          <w:lang w:eastAsia="zh-CN"/>
        </w:rPr>
      </w:pPr>
      <w:r w:rsidRPr="00E72666">
        <w:rPr>
          <w:rFonts w:ascii="Times" w:hAnsi="Times"/>
          <w:b/>
          <w:u w:val="single"/>
          <w:lang w:eastAsia="zh-CN"/>
        </w:rPr>
        <w:lastRenderedPageBreak/>
        <w:t>Supplementary Figures</w:t>
      </w:r>
    </w:p>
    <w:p w14:paraId="573B0570" w14:textId="77777777" w:rsidR="0057752B" w:rsidRDefault="0057752B">
      <w:pPr>
        <w:rPr>
          <w:rFonts w:ascii="Times" w:hAnsi="Times"/>
          <w:lang w:eastAsia="zh-CN"/>
        </w:rPr>
      </w:pPr>
    </w:p>
    <w:p w14:paraId="70EA3355" w14:textId="77777777" w:rsidR="0057752B" w:rsidRDefault="0057752B">
      <w:pPr>
        <w:rPr>
          <w:rFonts w:ascii="Times" w:hAnsi="Times"/>
          <w:lang w:eastAsia="zh-CN"/>
        </w:rPr>
      </w:pPr>
      <w:r w:rsidRPr="0057752B">
        <w:rPr>
          <w:rFonts w:ascii="Times" w:hAnsi="Times"/>
          <w:noProof/>
          <w:lang w:val="en-GB" w:eastAsia="en-GB"/>
        </w:rPr>
        <w:drawing>
          <wp:inline distT="0" distB="0" distL="0" distR="0" wp14:anchorId="2BD46D67" wp14:editId="021CE9EF">
            <wp:extent cx="5943600" cy="3873500"/>
            <wp:effectExtent l="0" t="0" r="0" b="0"/>
            <wp:docPr id="11" name="Content Placeholder 4">
              <a:extLst xmlns:a="http://schemas.openxmlformats.org/drawingml/2006/main">
                <a:ext uri="{FF2B5EF4-FFF2-40B4-BE49-F238E27FC236}">
                  <a16:creationId xmlns:a16="http://schemas.microsoft.com/office/drawing/2014/main" id="{574908F2-742C-A94D-908F-C350948B8F2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574908F2-742C-A94D-908F-C350948B8F21}"/>
                        </a:ext>
                      </a:extLst>
                    </pic:cNvPr>
                    <pic:cNvPicPr>
                      <a:picLocks noGrp="1" noChangeAspect="1"/>
                    </pic:cNvPicPr>
                  </pic:nvPicPr>
                  <pic:blipFill>
                    <a:blip r:embed="rId6"/>
                    <a:stretch>
                      <a:fillRect/>
                    </a:stretch>
                  </pic:blipFill>
                  <pic:spPr>
                    <a:xfrm>
                      <a:off x="0" y="0"/>
                      <a:ext cx="5943600" cy="3873500"/>
                    </a:xfrm>
                    <a:prstGeom prst="rect">
                      <a:avLst/>
                    </a:prstGeom>
                  </pic:spPr>
                </pic:pic>
              </a:graphicData>
            </a:graphic>
          </wp:inline>
        </w:drawing>
      </w:r>
    </w:p>
    <w:p w14:paraId="5DD63B47" w14:textId="77777777" w:rsidR="0057752B" w:rsidRDefault="0057752B">
      <w:pPr>
        <w:rPr>
          <w:rFonts w:ascii="Times" w:hAnsi="Times"/>
          <w:lang w:eastAsia="zh-CN"/>
        </w:rPr>
      </w:pPr>
    </w:p>
    <w:p w14:paraId="75A3AC33" w14:textId="73C3B07F" w:rsidR="00771027" w:rsidRPr="00E72666" w:rsidRDefault="0057752B" w:rsidP="008C3D23">
      <w:pPr>
        <w:spacing w:line="360" w:lineRule="auto"/>
        <w:rPr>
          <w:rFonts w:ascii="Times" w:hAnsi="Times"/>
          <w:color w:val="000000" w:themeColor="text1"/>
          <w:lang w:eastAsia="zh-CN"/>
        </w:rPr>
      </w:pPr>
      <w:r w:rsidRPr="00E72666">
        <w:rPr>
          <w:rFonts w:ascii="Times" w:hAnsi="Times"/>
          <w:b/>
          <w:color w:val="000000" w:themeColor="text1"/>
          <w:lang w:eastAsia="zh-CN"/>
        </w:rPr>
        <w:t xml:space="preserve">Supplementary Figure 1: Longitudinal HbA1C measurements for </w:t>
      </w:r>
      <w:proofErr w:type="spellStart"/>
      <w:r w:rsidRPr="00E72666">
        <w:rPr>
          <w:rFonts w:ascii="Times" w:hAnsi="Times"/>
          <w:b/>
          <w:color w:val="000000" w:themeColor="text1"/>
          <w:lang w:eastAsia="zh-CN"/>
        </w:rPr>
        <w:t>iHMP</w:t>
      </w:r>
      <w:proofErr w:type="spellEnd"/>
      <w:r w:rsidRPr="00E72666">
        <w:rPr>
          <w:rFonts w:ascii="Times" w:hAnsi="Times"/>
          <w:b/>
          <w:color w:val="000000" w:themeColor="text1"/>
          <w:lang w:eastAsia="zh-CN"/>
        </w:rPr>
        <w:t xml:space="preserve"> study participants</w:t>
      </w:r>
      <w:r w:rsidRPr="00E72666">
        <w:rPr>
          <w:rFonts w:ascii="Times" w:hAnsi="Times"/>
          <w:b/>
          <w:color w:val="000000" w:themeColor="text1"/>
          <w:lang w:eastAsia="zh-CN"/>
        </w:rPr>
        <w:br/>
      </w:r>
      <w:r w:rsidRPr="00E72666">
        <w:rPr>
          <w:rFonts w:ascii="Times" w:hAnsi="Times"/>
          <w:color w:val="000000" w:themeColor="text1"/>
          <w:lang w:eastAsia="zh-CN"/>
        </w:rPr>
        <w:t>Different panels represent</w:t>
      </w:r>
      <w:r w:rsidR="009F17AC">
        <w:rPr>
          <w:rFonts w:ascii="Times" w:hAnsi="Times"/>
          <w:color w:val="000000" w:themeColor="text1"/>
          <w:lang w:eastAsia="zh-CN"/>
        </w:rPr>
        <w:t xml:space="preserve"> individuals grouped by</w:t>
      </w:r>
      <w:r w:rsidRPr="00E72666">
        <w:rPr>
          <w:rFonts w:ascii="Times" w:hAnsi="Times"/>
          <w:color w:val="000000" w:themeColor="text1"/>
          <w:lang w:eastAsia="zh-CN"/>
        </w:rPr>
        <w:t xml:space="preserve"> IL-17/IL-22 activity (1: Low Activity, 2: Indeterminate, 3: High Activity). </w:t>
      </w:r>
      <w:r w:rsidR="0037700A" w:rsidRPr="00E72666">
        <w:rPr>
          <w:rFonts w:ascii="Times" w:hAnsi="Times"/>
          <w:color w:val="000000" w:themeColor="text1"/>
          <w:lang w:eastAsia="zh-CN"/>
        </w:rPr>
        <w:t xml:space="preserve">Different </w:t>
      </w:r>
      <w:proofErr w:type="spellStart"/>
      <w:r w:rsidR="0037700A" w:rsidRPr="00E72666">
        <w:rPr>
          <w:rFonts w:ascii="Times" w:hAnsi="Times"/>
          <w:color w:val="000000" w:themeColor="text1"/>
          <w:lang w:eastAsia="zh-CN"/>
        </w:rPr>
        <w:t>colours</w:t>
      </w:r>
      <w:proofErr w:type="spellEnd"/>
      <w:r w:rsidR="0037700A" w:rsidRPr="00E72666">
        <w:rPr>
          <w:rFonts w:ascii="Times" w:hAnsi="Times"/>
          <w:color w:val="000000" w:themeColor="text1"/>
          <w:lang w:eastAsia="zh-CN"/>
        </w:rPr>
        <w:t xml:space="preserve"> represent insulin sensitivity determined by steady state plasma glucose concentrations (Insulin sensitive (IS) &lt;150mg/dL, Insulin resistant (IR) ≥ 150mg/dL). Samples above</w:t>
      </w:r>
      <w:r w:rsidR="009F17AC">
        <w:rPr>
          <w:rFonts w:ascii="Times" w:hAnsi="Times"/>
          <w:color w:val="000000" w:themeColor="text1"/>
          <w:lang w:eastAsia="zh-CN"/>
        </w:rPr>
        <w:t xml:space="preserve"> the</w:t>
      </w:r>
      <w:r w:rsidR="0037700A" w:rsidRPr="00E72666">
        <w:rPr>
          <w:rFonts w:ascii="Times" w:hAnsi="Times"/>
          <w:color w:val="000000" w:themeColor="text1"/>
          <w:lang w:eastAsia="zh-CN"/>
        </w:rPr>
        <w:t xml:space="preserve"> purple dashed line indicate HbA1C measurements in the diabetic range (&gt;6.5%), samples between the purple and black dashed lines indicate HbA1C measurements in the prediabetic range (5.7% ≤ 6.5%). </w:t>
      </w:r>
      <w:r w:rsidR="00D067E5">
        <w:rPr>
          <w:rFonts w:ascii="Times" w:hAnsi="Times"/>
          <w:color w:val="000000" w:themeColor="text1"/>
          <w:lang w:eastAsia="zh-CN"/>
        </w:rPr>
        <w:t xml:space="preserve">Data are shown for the 60 individuals </w:t>
      </w:r>
      <w:r w:rsidR="009F17AC">
        <w:rPr>
          <w:rFonts w:ascii="Times" w:hAnsi="Times"/>
          <w:color w:val="000000" w:themeColor="text1"/>
          <w:lang w:eastAsia="zh-CN"/>
        </w:rPr>
        <w:t>that had</w:t>
      </w:r>
      <w:r w:rsidR="00D067E5">
        <w:rPr>
          <w:rFonts w:ascii="Times" w:hAnsi="Times"/>
          <w:color w:val="000000" w:themeColor="text1"/>
          <w:lang w:eastAsia="zh-CN"/>
        </w:rPr>
        <w:t xml:space="preserve"> </w:t>
      </w:r>
      <w:r w:rsidR="009F17AC">
        <w:rPr>
          <w:rFonts w:ascii="Times" w:hAnsi="Times"/>
          <w:color w:val="000000" w:themeColor="text1"/>
          <w:lang w:eastAsia="zh-CN"/>
        </w:rPr>
        <w:t>&gt;5 longitudinal cytokine + microbiome measurements and could be confidently classified as LA/IA/HA in mixture models (see methods).</w:t>
      </w:r>
    </w:p>
    <w:p w14:paraId="046C8129" w14:textId="77777777" w:rsidR="0037700A" w:rsidRDefault="0037700A">
      <w:pPr>
        <w:rPr>
          <w:rFonts w:ascii="Times" w:hAnsi="Times"/>
          <w:b/>
        </w:rPr>
      </w:pPr>
    </w:p>
    <w:p w14:paraId="0DC2CE19" w14:textId="77777777" w:rsidR="0037700A" w:rsidRDefault="0037700A">
      <w:pPr>
        <w:rPr>
          <w:rFonts w:ascii="Times" w:hAnsi="Times"/>
          <w:b/>
        </w:rPr>
      </w:pPr>
    </w:p>
    <w:p w14:paraId="4FB14813" w14:textId="51A3A376" w:rsidR="0037700A" w:rsidRDefault="0037700A">
      <w:pPr>
        <w:rPr>
          <w:rFonts w:ascii="Times" w:hAnsi="Times"/>
          <w:b/>
        </w:rPr>
        <w:sectPr w:rsidR="0037700A" w:rsidSect="006E1A5A">
          <w:pgSz w:w="12240" w:h="15840"/>
          <w:pgMar w:top="1440" w:right="1440" w:bottom="1440" w:left="1440" w:header="1008" w:footer="144" w:gutter="0"/>
          <w:cols w:space="720"/>
          <w:docGrid w:linePitch="360"/>
        </w:sectPr>
      </w:pPr>
    </w:p>
    <w:p w14:paraId="7151D4CE" w14:textId="15297072" w:rsidR="00771027" w:rsidRDefault="00FA608E" w:rsidP="00771027">
      <w:pPr>
        <w:spacing w:line="360" w:lineRule="auto"/>
        <w:rPr>
          <w:rFonts w:ascii="Times" w:hAnsi="Times"/>
          <w:b/>
        </w:rPr>
      </w:pPr>
      <w:r w:rsidRPr="00FA608E">
        <w:rPr>
          <w:rFonts w:ascii="Times" w:hAnsi="Times"/>
          <w:b/>
        </w:rPr>
        <w:lastRenderedPageBreak/>
        <w:drawing>
          <wp:inline distT="0" distB="0" distL="0" distR="0" wp14:anchorId="71CB8853" wp14:editId="29030ADA">
            <wp:extent cx="8229600" cy="41916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8229600" cy="4191635"/>
                    </a:xfrm>
                    <a:prstGeom prst="rect">
                      <a:avLst/>
                    </a:prstGeom>
                  </pic:spPr>
                </pic:pic>
              </a:graphicData>
            </a:graphic>
          </wp:inline>
        </w:drawing>
      </w:r>
    </w:p>
    <w:p w14:paraId="6873DFC0" w14:textId="2064F183" w:rsidR="001212BE" w:rsidRDefault="001212BE" w:rsidP="00771027">
      <w:pPr>
        <w:spacing w:line="360" w:lineRule="auto"/>
        <w:rPr>
          <w:rFonts w:ascii="Times" w:hAnsi="Times"/>
          <w:b/>
        </w:rPr>
      </w:pPr>
    </w:p>
    <w:p w14:paraId="5B91E8BC" w14:textId="16F9BFC4" w:rsidR="001212BE" w:rsidRPr="006E1A5A" w:rsidRDefault="001212BE" w:rsidP="00771027">
      <w:pPr>
        <w:spacing w:line="360" w:lineRule="auto"/>
        <w:rPr>
          <w:rFonts w:ascii="Times" w:hAnsi="Times"/>
          <w:b/>
        </w:rPr>
      </w:pPr>
    </w:p>
    <w:p w14:paraId="089D0DD5" w14:textId="74C426CF" w:rsidR="00771027" w:rsidRPr="001212BE" w:rsidRDefault="001212BE">
      <w:pPr>
        <w:rPr>
          <w:rFonts w:ascii="Times" w:hAnsi="Times"/>
        </w:rPr>
      </w:pPr>
      <w:r w:rsidRPr="00771027">
        <w:rPr>
          <w:rFonts w:ascii="Times" w:hAnsi="Times" w:cs="Calibri"/>
          <w:b/>
          <w:bCs/>
        </w:rPr>
        <w:t xml:space="preserve">Supplementary Figure </w:t>
      </w:r>
      <w:r>
        <w:rPr>
          <w:rFonts w:ascii="Times" w:hAnsi="Times" w:cs="Calibri"/>
          <w:b/>
          <w:bCs/>
        </w:rPr>
        <w:t>2</w:t>
      </w:r>
      <w:r w:rsidRPr="00771027">
        <w:rPr>
          <w:rFonts w:ascii="Times" w:hAnsi="Times" w:cs="Calibri"/>
          <w:b/>
          <w:bCs/>
        </w:rPr>
        <w:t>:</w:t>
      </w:r>
      <w:r>
        <w:rPr>
          <w:rFonts w:ascii="Times" w:hAnsi="Times" w:cs="Calibri"/>
        </w:rPr>
        <w:t xml:space="preserve"> Overview of sample filtering steps applied before the different analyses reported in th</w:t>
      </w:r>
      <w:r w:rsidR="00FA608E">
        <w:rPr>
          <w:rFonts w:ascii="Times" w:hAnsi="Times" w:cs="Calibri"/>
        </w:rPr>
        <w:t>i</w:t>
      </w:r>
      <w:r>
        <w:rPr>
          <w:rFonts w:ascii="Times" w:hAnsi="Times" w:cs="Calibri"/>
        </w:rPr>
        <w:t xml:space="preserve">s study. </w:t>
      </w:r>
    </w:p>
    <w:p w14:paraId="2660D7EF" w14:textId="0C5431AA" w:rsidR="001212BE" w:rsidRDefault="001212BE">
      <w:pPr>
        <w:rPr>
          <w:rFonts w:ascii="Times" w:eastAsia="Times New Roman" w:hAnsi="Times" w:cs="Calibri"/>
          <w:b/>
          <w:bCs/>
        </w:rPr>
      </w:pPr>
      <w:r>
        <w:rPr>
          <w:rFonts w:ascii="Times" w:hAnsi="Times" w:cs="Calibri"/>
          <w:b/>
          <w:bCs/>
        </w:rPr>
        <w:br w:type="page"/>
      </w:r>
    </w:p>
    <w:p w14:paraId="3E9A5F04" w14:textId="77777777" w:rsidR="001212BE" w:rsidRDefault="001212BE" w:rsidP="008C3D23">
      <w:pPr>
        <w:pStyle w:val="NormalWeb"/>
        <w:shd w:val="clear" w:color="auto" w:fill="FFFFFF"/>
        <w:spacing w:line="360" w:lineRule="auto"/>
        <w:rPr>
          <w:rFonts w:ascii="Times" w:hAnsi="Times" w:cs="Calibri"/>
          <w:b/>
          <w:bCs/>
        </w:rPr>
      </w:pPr>
    </w:p>
    <w:p w14:paraId="5214DADE" w14:textId="04DF1F6C" w:rsidR="00771027" w:rsidRPr="001212BE" w:rsidRDefault="001212BE" w:rsidP="008C3D23">
      <w:pPr>
        <w:pStyle w:val="NormalWeb"/>
        <w:shd w:val="clear" w:color="auto" w:fill="FFFFFF"/>
        <w:spacing w:line="360" w:lineRule="auto"/>
        <w:rPr>
          <w:rFonts w:ascii="Times" w:hAnsi="Times" w:cs="Calibri"/>
          <w:b/>
          <w:bCs/>
        </w:rPr>
      </w:pPr>
      <w:r w:rsidRPr="00771027">
        <w:rPr>
          <w:rFonts w:ascii="Times" w:hAnsi="Times"/>
          <w:b/>
          <w:noProof/>
          <w:lang w:val="en-GB" w:eastAsia="en-GB"/>
        </w:rPr>
        <w:drawing>
          <wp:inline distT="0" distB="0" distL="0" distR="0" wp14:anchorId="413E6209" wp14:editId="29FC4AA6">
            <wp:extent cx="8229600" cy="4344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229600" cy="4344035"/>
                    </a:xfrm>
                    <a:prstGeom prst="rect">
                      <a:avLst/>
                    </a:prstGeom>
                  </pic:spPr>
                </pic:pic>
              </a:graphicData>
            </a:graphic>
          </wp:inline>
        </w:drawing>
      </w:r>
      <w:r w:rsidR="00771027" w:rsidRPr="00771027">
        <w:rPr>
          <w:rFonts w:ascii="Times" w:hAnsi="Times" w:cs="Calibri"/>
          <w:b/>
          <w:bCs/>
        </w:rPr>
        <w:t xml:space="preserve">Supplementary Figure </w:t>
      </w:r>
      <w:r>
        <w:rPr>
          <w:rFonts w:ascii="Times" w:hAnsi="Times" w:cs="Calibri"/>
          <w:b/>
          <w:bCs/>
        </w:rPr>
        <w:t>3</w:t>
      </w:r>
      <w:r w:rsidR="00771027" w:rsidRPr="00771027">
        <w:rPr>
          <w:rFonts w:ascii="Times" w:hAnsi="Times" w:cs="Calibri"/>
          <w:b/>
          <w:bCs/>
        </w:rPr>
        <w:t xml:space="preserve">: Generalized Mixture Model of individuals based on levels of IL-17 and IL-222 </w:t>
      </w:r>
      <w:r w:rsidR="00771027">
        <w:rPr>
          <w:rFonts w:ascii="Times" w:hAnsi="Times" w:cs="Calibri"/>
          <w:b/>
          <w:bCs/>
        </w:rPr>
        <w:br/>
      </w:r>
      <w:r w:rsidR="00771027" w:rsidRPr="00771027">
        <w:rPr>
          <w:rFonts w:ascii="Times" w:hAnsi="Times" w:cs="Calibri"/>
          <w:b/>
        </w:rPr>
        <w:t>A)</w:t>
      </w:r>
      <w:r w:rsidR="00771027" w:rsidRPr="00771027">
        <w:rPr>
          <w:rFonts w:ascii="Times" w:hAnsi="Times" w:cs="Calibri"/>
        </w:rPr>
        <w:t xml:space="preserve"> Pairwise correlation of three cytokines mean value and SD. Color represents the group which the sample is assigned to </w:t>
      </w:r>
      <w:r w:rsidR="00771027">
        <w:rPr>
          <w:rFonts w:ascii="Times" w:hAnsi="Times" w:cs="Calibri"/>
        </w:rPr>
        <w:br/>
      </w:r>
      <w:r w:rsidR="00771027" w:rsidRPr="00771027">
        <w:rPr>
          <w:rFonts w:ascii="Times" w:hAnsi="Times" w:cs="Calibri"/>
        </w:rPr>
        <w:t xml:space="preserve">(blue: LA group, red: IA group, green: HA group). </w:t>
      </w:r>
      <w:r w:rsidR="00771027" w:rsidRPr="00771027">
        <w:rPr>
          <w:rFonts w:ascii="Times" w:hAnsi="Times" w:cs="Calibri"/>
          <w:b/>
        </w:rPr>
        <w:t>B)</w:t>
      </w:r>
      <w:r w:rsidR="00771027" w:rsidRPr="00771027">
        <w:rPr>
          <w:rFonts w:ascii="Times" w:hAnsi="Times" w:cs="Calibri"/>
        </w:rPr>
        <w:t xml:space="preserve"> The Bayesian information criterion (BIC) result for the potential number of groups (components). The highest three BIC indicate the most likely number of groups. </w:t>
      </w:r>
      <w:r w:rsidR="00771027" w:rsidRPr="00771027">
        <w:rPr>
          <w:rFonts w:ascii="Times" w:hAnsi="Times"/>
          <w:b/>
        </w:rPr>
        <w:br w:type="page"/>
      </w:r>
    </w:p>
    <w:p w14:paraId="55F74546" w14:textId="77777777" w:rsidR="00771027" w:rsidRDefault="00771027" w:rsidP="000045AB">
      <w:pPr>
        <w:spacing w:line="360" w:lineRule="auto"/>
        <w:rPr>
          <w:rFonts w:ascii="Times" w:hAnsi="Times"/>
          <w:b/>
        </w:rPr>
        <w:sectPr w:rsidR="00771027" w:rsidSect="00771027">
          <w:pgSz w:w="15840" w:h="12240" w:orient="landscape"/>
          <w:pgMar w:top="1440" w:right="1440" w:bottom="1440" w:left="1440" w:header="1008" w:footer="144" w:gutter="0"/>
          <w:cols w:space="720"/>
          <w:docGrid w:linePitch="360"/>
        </w:sectPr>
      </w:pPr>
    </w:p>
    <w:p w14:paraId="5A3B806A" w14:textId="648286CE" w:rsidR="000045AB" w:rsidRPr="006E1A5A" w:rsidRDefault="000045AB" w:rsidP="000045AB">
      <w:pPr>
        <w:spacing w:line="360" w:lineRule="auto"/>
        <w:rPr>
          <w:rFonts w:ascii="Times" w:hAnsi="Times"/>
          <w:b/>
        </w:rPr>
      </w:pPr>
    </w:p>
    <w:p w14:paraId="7BED50A3" w14:textId="7E7A7C1A" w:rsidR="007B61B8" w:rsidRDefault="00771027" w:rsidP="006E1A5A">
      <w:pPr>
        <w:spacing w:line="360" w:lineRule="auto"/>
        <w:rPr>
          <w:rFonts w:ascii="Times" w:hAnsi="Times"/>
          <w:lang w:eastAsia="zh-CN"/>
        </w:rPr>
      </w:pPr>
      <w:r w:rsidRPr="00771027">
        <w:rPr>
          <w:rFonts w:ascii="Times" w:hAnsi="Times"/>
          <w:noProof/>
          <w:lang w:val="en-GB" w:eastAsia="en-GB"/>
        </w:rPr>
        <w:drawing>
          <wp:inline distT="0" distB="0" distL="0" distR="0" wp14:anchorId="7DC72D32" wp14:editId="1FF039EA">
            <wp:extent cx="5943600" cy="3976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976370"/>
                    </a:xfrm>
                    <a:prstGeom prst="rect">
                      <a:avLst/>
                    </a:prstGeom>
                  </pic:spPr>
                </pic:pic>
              </a:graphicData>
            </a:graphic>
          </wp:inline>
        </w:drawing>
      </w:r>
    </w:p>
    <w:p w14:paraId="3BF7E788" w14:textId="6BC8FCB8" w:rsidR="00771027" w:rsidRPr="00771027" w:rsidRDefault="00771027" w:rsidP="00771027">
      <w:pPr>
        <w:spacing w:line="360" w:lineRule="auto"/>
        <w:rPr>
          <w:rFonts w:ascii="Times" w:hAnsi="Times"/>
          <w:lang w:eastAsia="zh-CN"/>
        </w:rPr>
      </w:pPr>
      <w:r w:rsidRPr="00771027">
        <w:rPr>
          <w:rFonts w:ascii="Times" w:hAnsi="Times"/>
          <w:b/>
          <w:lang w:eastAsia="zh-CN"/>
        </w:rPr>
        <w:t>Supplementary Figure</w:t>
      </w:r>
      <w:r w:rsidR="0057752B">
        <w:rPr>
          <w:rFonts w:ascii="Times" w:hAnsi="Times"/>
          <w:b/>
          <w:lang w:eastAsia="zh-CN"/>
        </w:rPr>
        <w:t xml:space="preserve"> </w:t>
      </w:r>
      <w:r w:rsidR="001212BE">
        <w:rPr>
          <w:rFonts w:ascii="Times" w:hAnsi="Times"/>
          <w:b/>
          <w:lang w:eastAsia="zh-CN"/>
        </w:rPr>
        <w:t>4</w:t>
      </w:r>
      <w:r w:rsidRPr="00771027">
        <w:rPr>
          <w:rFonts w:ascii="Times" w:hAnsi="Times"/>
          <w:b/>
          <w:lang w:eastAsia="zh-CN"/>
        </w:rPr>
        <w:t>:</w:t>
      </w:r>
      <w:r w:rsidRPr="00771027">
        <w:t xml:space="preserve"> </w:t>
      </w:r>
      <w:r w:rsidRPr="00771027">
        <w:rPr>
          <w:rFonts w:ascii="Times" w:hAnsi="Times"/>
          <w:b/>
          <w:lang w:eastAsia="zh-CN"/>
        </w:rPr>
        <w:t>Density distributions of cytokines for each group and the lower limit of detection</w:t>
      </w:r>
      <w:r>
        <w:rPr>
          <w:rFonts w:ascii="Times" w:hAnsi="Times"/>
          <w:b/>
          <w:lang w:eastAsia="zh-CN"/>
        </w:rPr>
        <w:t xml:space="preserve">. </w:t>
      </w:r>
      <w:r w:rsidRPr="00771027">
        <w:rPr>
          <w:rFonts w:ascii="Times" w:hAnsi="Times"/>
          <w:lang w:eastAsia="zh-CN"/>
        </w:rPr>
        <w:t>Density distributions show the abundance of each cytokine within each group. Groups are marked with colors. Dashed lines represent the lower limits of detection (LLOD) for the Luminex assay used to calculate cytokine abundance. LLODs are calculated as 3 standard deviations above the mean absorbance for the negative control associated with each measurement. They can be interpreted as conservative thresholds below which the accuracy of measurements may become limited. (IL-17A: 64.4; IL-17F: 140.5, IL-22: 199.9)</w:t>
      </w:r>
    </w:p>
    <w:p w14:paraId="652478C5" w14:textId="77777777" w:rsidR="00771027" w:rsidRDefault="00771027">
      <w:pPr>
        <w:rPr>
          <w:rFonts w:ascii="Times" w:hAnsi="Times"/>
          <w:lang w:eastAsia="zh-CN"/>
        </w:rPr>
      </w:pPr>
      <w:r>
        <w:rPr>
          <w:rFonts w:ascii="Times" w:hAnsi="Times"/>
          <w:lang w:eastAsia="zh-CN"/>
        </w:rPr>
        <w:br w:type="page"/>
      </w:r>
    </w:p>
    <w:p w14:paraId="27C5E206" w14:textId="4A070993" w:rsidR="00771027" w:rsidRDefault="002B68D4" w:rsidP="006E1A5A">
      <w:pPr>
        <w:spacing w:line="360" w:lineRule="auto"/>
        <w:rPr>
          <w:rFonts w:ascii="Times" w:hAnsi="Times"/>
          <w:lang w:eastAsia="zh-CN"/>
        </w:rPr>
      </w:pPr>
      <w:r w:rsidRPr="00C530E4">
        <w:rPr>
          <w:rFonts w:ascii="Times" w:hAnsi="Times"/>
          <w:noProof/>
          <w:lang w:val="en-GB" w:eastAsia="en-GB"/>
        </w:rPr>
        <w:lastRenderedPageBreak/>
        <w:drawing>
          <wp:inline distT="0" distB="0" distL="0" distR="0" wp14:anchorId="0B0718C2" wp14:editId="2A4D817A">
            <wp:extent cx="5269043" cy="238176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5810" cy="2384824"/>
                    </a:xfrm>
                    <a:prstGeom prst="rect">
                      <a:avLst/>
                    </a:prstGeom>
                  </pic:spPr>
                </pic:pic>
              </a:graphicData>
            </a:graphic>
          </wp:inline>
        </w:drawing>
      </w:r>
    </w:p>
    <w:p w14:paraId="0B26D8DA" w14:textId="0378B65A" w:rsidR="00C530E4" w:rsidRDefault="00C530E4" w:rsidP="006E1A5A">
      <w:pPr>
        <w:spacing w:line="360" w:lineRule="auto"/>
        <w:rPr>
          <w:rFonts w:ascii="Times" w:hAnsi="Times"/>
          <w:lang w:eastAsia="zh-CN"/>
        </w:rPr>
      </w:pPr>
    </w:p>
    <w:p w14:paraId="3EF588CD" w14:textId="04D1289C" w:rsidR="00C530E4" w:rsidRPr="00C530E4" w:rsidRDefault="00C530E4" w:rsidP="00C530E4">
      <w:pPr>
        <w:spacing w:line="360" w:lineRule="auto"/>
        <w:rPr>
          <w:rFonts w:ascii="Times" w:hAnsi="Times"/>
          <w:lang w:eastAsia="zh-CN"/>
        </w:rPr>
      </w:pPr>
      <w:r>
        <w:rPr>
          <w:rFonts w:ascii="Times" w:hAnsi="Times"/>
          <w:b/>
          <w:lang w:eastAsia="zh-CN"/>
        </w:rPr>
        <w:t xml:space="preserve">Supplementary Figure </w:t>
      </w:r>
      <w:r w:rsidR="001212BE">
        <w:rPr>
          <w:rFonts w:ascii="Times" w:hAnsi="Times"/>
          <w:b/>
          <w:lang w:eastAsia="zh-CN"/>
        </w:rPr>
        <w:t>5</w:t>
      </w:r>
      <w:r>
        <w:rPr>
          <w:rFonts w:ascii="Times" w:hAnsi="Times"/>
          <w:b/>
          <w:lang w:eastAsia="zh-CN"/>
        </w:rPr>
        <w:t xml:space="preserve">: </w:t>
      </w:r>
      <w:r w:rsidRPr="00C530E4">
        <w:rPr>
          <w:rFonts w:ascii="Times" w:hAnsi="Times"/>
          <w:b/>
          <w:lang w:eastAsia="zh-CN"/>
        </w:rPr>
        <w:t>Non-metric multidimensional scaling (</w:t>
      </w:r>
      <w:proofErr w:type="spellStart"/>
      <w:r w:rsidRPr="00C530E4">
        <w:rPr>
          <w:rFonts w:ascii="Times" w:hAnsi="Times"/>
          <w:b/>
          <w:lang w:eastAsia="zh-CN"/>
        </w:rPr>
        <w:t>nMDS</w:t>
      </w:r>
      <w:proofErr w:type="spellEnd"/>
      <w:r w:rsidRPr="00C530E4">
        <w:rPr>
          <w:rFonts w:ascii="Times" w:hAnsi="Times"/>
          <w:b/>
          <w:lang w:eastAsia="zh-CN"/>
        </w:rPr>
        <w:t>) plots of study participants based on serum cytokine and gut microbiome compositions</w:t>
      </w:r>
    </w:p>
    <w:p w14:paraId="0B42ECAC" w14:textId="6C8E05D9" w:rsidR="00C530E4" w:rsidRPr="00C530E4" w:rsidRDefault="00C530E4" w:rsidP="00C530E4">
      <w:pPr>
        <w:spacing w:line="360" w:lineRule="auto"/>
        <w:rPr>
          <w:rFonts w:ascii="Times" w:hAnsi="Times"/>
          <w:lang w:eastAsia="zh-CN"/>
        </w:rPr>
      </w:pPr>
      <w:proofErr w:type="spellStart"/>
      <w:r w:rsidRPr="00C530E4">
        <w:rPr>
          <w:rFonts w:ascii="Times" w:hAnsi="Times"/>
          <w:lang w:eastAsia="zh-CN"/>
        </w:rPr>
        <w:t>nMDS</w:t>
      </w:r>
      <w:proofErr w:type="spellEnd"/>
      <w:r w:rsidRPr="00C530E4">
        <w:rPr>
          <w:rFonts w:ascii="Times" w:hAnsi="Times"/>
          <w:lang w:eastAsia="zh-CN"/>
        </w:rPr>
        <w:t xml:space="preserve"> plots depicting variation between repeated measurements of A) microbiome and B) cytokine profiles. Repeated measurements from different individuals are colored separately to highlight the relationship between intra- and inter- individual variation. For clarity, only data for individuals with &gt;15 repeated measurements are shown.</w:t>
      </w:r>
    </w:p>
    <w:p w14:paraId="6FD88477" w14:textId="063C280F" w:rsidR="00C530E4" w:rsidRDefault="00C530E4" w:rsidP="00E72666">
      <w:pPr>
        <w:spacing w:line="360" w:lineRule="auto"/>
        <w:ind w:left="-426"/>
        <w:rPr>
          <w:rFonts w:ascii="Times" w:hAnsi="Times"/>
          <w:lang w:eastAsia="zh-CN"/>
        </w:rPr>
      </w:pPr>
      <w:r>
        <w:rPr>
          <w:rFonts w:ascii="Times" w:hAnsi="Times"/>
          <w:lang w:eastAsia="zh-CN"/>
        </w:rPr>
        <w:br w:type="column"/>
      </w:r>
      <w:r w:rsidR="00A95853" w:rsidRPr="00A95853">
        <w:rPr>
          <w:rFonts w:ascii="Times" w:hAnsi="Times"/>
          <w:noProof/>
          <w:lang w:val="en-GB" w:eastAsia="en-GB"/>
        </w:rPr>
        <w:lastRenderedPageBreak/>
        <w:drawing>
          <wp:inline distT="0" distB="0" distL="0" distR="0" wp14:anchorId="4CD97202" wp14:editId="6EAE0DCE">
            <wp:extent cx="6839421" cy="4893547"/>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845626" cy="4897987"/>
                    </a:xfrm>
                    <a:prstGeom prst="rect">
                      <a:avLst/>
                    </a:prstGeom>
                  </pic:spPr>
                </pic:pic>
              </a:graphicData>
            </a:graphic>
          </wp:inline>
        </w:drawing>
      </w:r>
    </w:p>
    <w:p w14:paraId="17EB50A8" w14:textId="3981FFA5" w:rsidR="00781248" w:rsidRDefault="00781248" w:rsidP="006E1A5A">
      <w:pPr>
        <w:spacing w:line="360" w:lineRule="auto"/>
        <w:rPr>
          <w:rFonts w:ascii="Times" w:hAnsi="Times"/>
          <w:lang w:eastAsia="zh-CN"/>
        </w:rPr>
      </w:pPr>
    </w:p>
    <w:p w14:paraId="66F9C719" w14:textId="5F3374F7" w:rsidR="00781248" w:rsidRPr="00E72666" w:rsidRDefault="00781248" w:rsidP="008C3D23">
      <w:pPr>
        <w:spacing w:line="360" w:lineRule="auto"/>
        <w:rPr>
          <w:rFonts w:ascii="Times" w:hAnsi="Times"/>
          <w:color w:val="000000" w:themeColor="text1"/>
        </w:rPr>
      </w:pPr>
      <w:r w:rsidRPr="00E72666">
        <w:rPr>
          <w:rFonts w:ascii="Times" w:hAnsi="Times"/>
          <w:b/>
          <w:bCs/>
          <w:color w:val="000000" w:themeColor="text1"/>
        </w:rPr>
        <w:t xml:space="preserve">Supplementary Figure </w:t>
      </w:r>
      <w:r w:rsidR="001212BE">
        <w:rPr>
          <w:rFonts w:ascii="Times" w:hAnsi="Times"/>
          <w:b/>
          <w:bCs/>
          <w:color w:val="000000" w:themeColor="text1"/>
        </w:rPr>
        <w:t>6</w:t>
      </w:r>
      <w:r w:rsidR="000D580E" w:rsidRPr="00E72666">
        <w:rPr>
          <w:rFonts w:ascii="Times" w:hAnsi="Times"/>
          <w:b/>
          <w:bCs/>
          <w:color w:val="000000" w:themeColor="text1"/>
        </w:rPr>
        <w:t>:</w:t>
      </w:r>
      <w:r w:rsidRPr="00E72666">
        <w:rPr>
          <w:rFonts w:ascii="Times" w:hAnsi="Times"/>
          <w:b/>
          <w:bCs/>
          <w:color w:val="000000" w:themeColor="text1"/>
        </w:rPr>
        <w:t xml:space="preserve"> Longitudinal estimation of regression </w:t>
      </w:r>
      <w:r w:rsidR="00167421" w:rsidRPr="00E72666">
        <w:rPr>
          <w:rFonts w:ascii="Times" w:hAnsi="Times"/>
          <w:b/>
          <w:bCs/>
          <w:color w:val="000000" w:themeColor="text1"/>
        </w:rPr>
        <w:t>coefficients for relationship between</w:t>
      </w:r>
      <w:r w:rsidRPr="00E72666">
        <w:rPr>
          <w:rFonts w:ascii="Times" w:hAnsi="Times"/>
          <w:b/>
          <w:bCs/>
          <w:color w:val="000000" w:themeColor="text1"/>
        </w:rPr>
        <w:t xml:space="preserve"> IL-17/IL-22 </w:t>
      </w:r>
      <w:r w:rsidR="00167421" w:rsidRPr="00E72666">
        <w:rPr>
          <w:rFonts w:ascii="Times" w:hAnsi="Times"/>
          <w:b/>
          <w:bCs/>
          <w:color w:val="000000" w:themeColor="text1"/>
        </w:rPr>
        <w:t xml:space="preserve">and </w:t>
      </w:r>
      <w:r w:rsidRPr="00E72666">
        <w:rPr>
          <w:rFonts w:ascii="Times" w:hAnsi="Times"/>
          <w:b/>
          <w:bCs/>
          <w:color w:val="000000" w:themeColor="text1"/>
        </w:rPr>
        <w:t xml:space="preserve">host health. A) </w:t>
      </w:r>
      <w:r w:rsidR="000D580E" w:rsidRPr="00E72666">
        <w:rPr>
          <w:rFonts w:ascii="Times" w:hAnsi="Times"/>
          <w:bCs/>
          <w:color w:val="000000" w:themeColor="text1"/>
        </w:rPr>
        <w:t>Correlation coefficients from model of cytokine abundance vs. health status.</w:t>
      </w:r>
      <w:r w:rsidR="000D580E" w:rsidRPr="00E72666">
        <w:rPr>
          <w:rFonts w:ascii="Times" w:hAnsi="Times"/>
          <w:b/>
          <w:bCs/>
          <w:color w:val="000000" w:themeColor="text1"/>
        </w:rPr>
        <w:t xml:space="preserve"> B)</w:t>
      </w:r>
      <w:r w:rsidR="000D580E" w:rsidRPr="00E72666">
        <w:rPr>
          <w:rFonts w:ascii="Times" w:hAnsi="Times"/>
          <w:bCs/>
          <w:color w:val="000000" w:themeColor="text1"/>
        </w:rPr>
        <w:t xml:space="preserve"> Correlation coefficients from model of cytokines vs infection stage.</w:t>
      </w:r>
      <w:r w:rsidRPr="00E72666">
        <w:rPr>
          <w:rFonts w:ascii="Times" w:hAnsi="Times"/>
          <w:b/>
          <w:bCs/>
          <w:color w:val="000000" w:themeColor="text1"/>
        </w:rPr>
        <w:t xml:space="preserve"> </w:t>
      </w:r>
      <w:r w:rsidRPr="00E72666">
        <w:rPr>
          <w:rFonts w:ascii="Times" w:hAnsi="Times"/>
          <w:color w:val="000000" w:themeColor="text1"/>
        </w:rPr>
        <w:t xml:space="preserve">The X axis of </w:t>
      </w:r>
      <w:r w:rsidR="000D580E" w:rsidRPr="00E72666">
        <w:rPr>
          <w:rFonts w:ascii="Times" w:hAnsi="Times"/>
          <w:color w:val="000000" w:themeColor="text1"/>
        </w:rPr>
        <w:t xml:space="preserve">all </w:t>
      </w:r>
      <w:r w:rsidRPr="00E72666">
        <w:rPr>
          <w:rFonts w:ascii="Times" w:hAnsi="Times"/>
          <w:color w:val="000000" w:themeColor="text1"/>
        </w:rPr>
        <w:t>figure</w:t>
      </w:r>
      <w:r w:rsidR="000D580E" w:rsidRPr="00E72666">
        <w:rPr>
          <w:rFonts w:ascii="Times" w:hAnsi="Times"/>
          <w:color w:val="000000" w:themeColor="text1"/>
        </w:rPr>
        <w:t>s</w:t>
      </w:r>
      <w:r w:rsidRPr="00E72666">
        <w:rPr>
          <w:rFonts w:ascii="Times" w:hAnsi="Times"/>
          <w:color w:val="000000" w:themeColor="text1"/>
        </w:rPr>
        <w:t xml:space="preserve"> indicate</w:t>
      </w:r>
      <w:r w:rsidR="000D580E" w:rsidRPr="00E72666">
        <w:rPr>
          <w:rFonts w:ascii="Times" w:hAnsi="Times"/>
          <w:color w:val="000000" w:themeColor="text1"/>
        </w:rPr>
        <w:t>s</w:t>
      </w:r>
      <w:r w:rsidRPr="00E72666">
        <w:rPr>
          <w:rFonts w:ascii="Times" w:hAnsi="Times"/>
          <w:color w:val="000000" w:themeColor="text1"/>
        </w:rPr>
        <w:t xml:space="preserve"> the variables tested by liner mixed model, and Y axis shows the beta correlation coefficient probability. </w:t>
      </w:r>
    </w:p>
    <w:p w14:paraId="4B5AA1E1" w14:textId="34F93BAE" w:rsidR="000D580E" w:rsidRDefault="000D580E" w:rsidP="00781248">
      <w:pPr>
        <w:rPr>
          <w:rFonts w:ascii="Times" w:hAnsi="Times"/>
        </w:rPr>
      </w:pPr>
    </w:p>
    <w:p w14:paraId="58735382" w14:textId="704F775C" w:rsidR="00125563" w:rsidRDefault="00125563">
      <w:pPr>
        <w:rPr>
          <w:rFonts w:ascii="Times" w:hAnsi="Times"/>
        </w:rPr>
      </w:pPr>
      <w:r>
        <w:rPr>
          <w:rFonts w:ascii="Times" w:hAnsi="Times"/>
        </w:rPr>
        <w:br w:type="page"/>
      </w:r>
    </w:p>
    <w:p w14:paraId="33A2F6EA" w14:textId="77777777" w:rsidR="000D580E" w:rsidRDefault="000D580E" w:rsidP="00781248">
      <w:pPr>
        <w:rPr>
          <w:rFonts w:ascii="Times" w:hAnsi="Times"/>
        </w:rPr>
      </w:pPr>
    </w:p>
    <w:p w14:paraId="331378BD" w14:textId="24985AE3" w:rsidR="000D580E" w:rsidRPr="00A95853" w:rsidRDefault="000D580E" w:rsidP="00781248">
      <w:pPr>
        <w:rPr>
          <w:rFonts w:ascii="Times" w:hAnsi="Times"/>
          <w:b/>
        </w:rPr>
      </w:pPr>
      <w:r w:rsidRPr="00125563">
        <w:rPr>
          <w:rFonts w:ascii="Times" w:hAnsi="Times"/>
          <w:b/>
        </w:rPr>
        <w:t>A</w:t>
      </w:r>
    </w:p>
    <w:p w14:paraId="180DEDB5" w14:textId="5DB7D619" w:rsidR="000D580E" w:rsidRDefault="00E31471" w:rsidP="00E31471">
      <w:pPr>
        <w:jc w:val="center"/>
        <w:rPr>
          <w:rFonts w:ascii="Times" w:hAnsi="Times"/>
        </w:rPr>
      </w:pPr>
      <w:r w:rsidRPr="00E31471">
        <w:rPr>
          <w:rFonts w:ascii="Times" w:hAnsi="Times"/>
          <w:noProof/>
          <w:color w:val="FF0000"/>
          <w:lang w:val="en-GB" w:eastAsia="en-GB"/>
        </w:rPr>
        <w:drawing>
          <wp:inline distT="0" distB="0" distL="0" distR="0" wp14:anchorId="709D7171" wp14:editId="6B6B1EB5">
            <wp:extent cx="4511710" cy="3172099"/>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41146" cy="3192795"/>
                    </a:xfrm>
                    <a:prstGeom prst="rect">
                      <a:avLst/>
                    </a:prstGeom>
                  </pic:spPr>
                </pic:pic>
              </a:graphicData>
            </a:graphic>
          </wp:inline>
        </w:drawing>
      </w:r>
    </w:p>
    <w:p w14:paraId="6353BC3D" w14:textId="1E694BA6" w:rsidR="000D580E" w:rsidRDefault="000D580E" w:rsidP="00781248">
      <w:pPr>
        <w:rPr>
          <w:rFonts w:ascii="Times" w:hAnsi="Times"/>
        </w:rPr>
      </w:pPr>
    </w:p>
    <w:p w14:paraId="4887F0D4" w14:textId="222EC078" w:rsidR="000D580E" w:rsidRPr="00125563" w:rsidRDefault="000D580E" w:rsidP="00781248">
      <w:pPr>
        <w:rPr>
          <w:rFonts w:ascii="Times" w:hAnsi="Times"/>
          <w:b/>
        </w:rPr>
      </w:pPr>
      <w:r w:rsidRPr="00125563">
        <w:rPr>
          <w:rFonts w:ascii="Times" w:hAnsi="Times"/>
          <w:b/>
        </w:rPr>
        <w:t>B</w:t>
      </w:r>
    </w:p>
    <w:p w14:paraId="539B79BD" w14:textId="5E070CAA" w:rsidR="000D580E" w:rsidRDefault="000D580E" w:rsidP="00E31471">
      <w:pPr>
        <w:jc w:val="center"/>
        <w:rPr>
          <w:rFonts w:ascii="Times" w:hAnsi="Times"/>
        </w:rPr>
      </w:pPr>
      <w:r w:rsidRPr="000D580E">
        <w:rPr>
          <w:rFonts w:ascii="Times" w:hAnsi="Times"/>
          <w:noProof/>
          <w:lang w:val="en-GB" w:eastAsia="en-GB"/>
        </w:rPr>
        <w:drawing>
          <wp:inline distT="0" distB="0" distL="0" distR="0" wp14:anchorId="4F7DB272" wp14:editId="531DC8B4">
            <wp:extent cx="4572000" cy="3040672"/>
            <wp:effectExtent l="0" t="0" r="0" b="0"/>
            <wp:docPr id="5" name="Picture 4">
              <a:extLst xmlns:a="http://schemas.openxmlformats.org/drawingml/2006/main">
                <a:ext uri="{FF2B5EF4-FFF2-40B4-BE49-F238E27FC236}">
                  <a16:creationId xmlns:a16="http://schemas.microsoft.com/office/drawing/2014/main" id="{CC8ABA64-8AEC-2A4C-AE92-393EA58717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C8ABA64-8AEC-2A4C-AE92-393EA5871772}"/>
                        </a:ext>
                      </a:extLst>
                    </pic:cNvPr>
                    <pic:cNvPicPr>
                      <a:picLocks noChangeAspect="1"/>
                    </pic:cNvPicPr>
                  </pic:nvPicPr>
                  <pic:blipFill>
                    <a:blip r:embed="rId13"/>
                    <a:stretch>
                      <a:fillRect/>
                    </a:stretch>
                  </pic:blipFill>
                  <pic:spPr>
                    <a:xfrm>
                      <a:off x="0" y="0"/>
                      <a:ext cx="4583979" cy="3048639"/>
                    </a:xfrm>
                    <a:prstGeom prst="rect">
                      <a:avLst/>
                    </a:prstGeom>
                  </pic:spPr>
                </pic:pic>
              </a:graphicData>
            </a:graphic>
          </wp:inline>
        </w:drawing>
      </w:r>
    </w:p>
    <w:p w14:paraId="064D80E0" w14:textId="77777777" w:rsidR="00125563" w:rsidRDefault="00125563" w:rsidP="00781248">
      <w:pPr>
        <w:rPr>
          <w:rFonts w:ascii="Times" w:hAnsi="Times"/>
          <w:b/>
          <w:bCs/>
        </w:rPr>
      </w:pPr>
    </w:p>
    <w:p w14:paraId="4B3922C6" w14:textId="2AE731E9" w:rsidR="000D580E" w:rsidRPr="008C3D23" w:rsidRDefault="000D580E" w:rsidP="008C3D23">
      <w:pPr>
        <w:spacing w:line="276" w:lineRule="auto"/>
        <w:rPr>
          <w:rFonts w:ascii="Times" w:hAnsi="Times"/>
          <w:bCs/>
          <w:color w:val="000000" w:themeColor="text1"/>
        </w:rPr>
      </w:pPr>
      <w:r w:rsidRPr="00E72666">
        <w:rPr>
          <w:rFonts w:ascii="Times" w:hAnsi="Times"/>
          <w:b/>
          <w:bCs/>
          <w:color w:val="000000" w:themeColor="text1"/>
        </w:rPr>
        <w:t xml:space="preserve">Supplementary Figure </w:t>
      </w:r>
      <w:r w:rsidR="001212BE">
        <w:rPr>
          <w:rFonts w:ascii="Times" w:hAnsi="Times"/>
          <w:b/>
          <w:bCs/>
          <w:color w:val="000000" w:themeColor="text1"/>
        </w:rPr>
        <w:t>7</w:t>
      </w:r>
      <w:r w:rsidRPr="00E72666">
        <w:rPr>
          <w:rFonts w:ascii="Times" w:hAnsi="Times"/>
          <w:b/>
          <w:bCs/>
          <w:color w:val="000000" w:themeColor="text1"/>
        </w:rPr>
        <w:t>: Boxplots showing abundance of cytokines across different host health categories. A)</w:t>
      </w:r>
      <w:r w:rsidRPr="00E72666">
        <w:rPr>
          <w:rFonts w:ascii="Times" w:hAnsi="Times"/>
          <w:bCs/>
          <w:color w:val="000000" w:themeColor="text1"/>
        </w:rPr>
        <w:t xml:space="preserve"> Relationship between cytokine abundance and health status.</w:t>
      </w:r>
      <w:r w:rsidRPr="00E72666">
        <w:rPr>
          <w:rFonts w:ascii="Times" w:hAnsi="Times"/>
          <w:b/>
          <w:bCs/>
          <w:color w:val="000000" w:themeColor="text1"/>
        </w:rPr>
        <w:t xml:space="preserve"> B)</w:t>
      </w:r>
      <w:r w:rsidRPr="00E72666">
        <w:rPr>
          <w:rFonts w:ascii="Times" w:hAnsi="Times"/>
          <w:bCs/>
          <w:color w:val="000000" w:themeColor="text1"/>
        </w:rPr>
        <w:t xml:space="preserve"> Relationship between cytokine abundance and infection stage. </w:t>
      </w:r>
      <w:r w:rsidR="00A95853" w:rsidRPr="00E72666">
        <w:rPr>
          <w:rFonts w:ascii="Times" w:hAnsi="Times"/>
          <w:bCs/>
          <w:color w:val="000000" w:themeColor="text1"/>
        </w:rPr>
        <w:t>A</w:t>
      </w:r>
      <w:r w:rsidRPr="00E72666">
        <w:rPr>
          <w:rFonts w:ascii="Times" w:hAnsi="Times"/>
          <w:bCs/>
          <w:color w:val="000000" w:themeColor="text1"/>
        </w:rPr>
        <w:t xml:space="preserve">sterisks above each boxplot denote </w:t>
      </w:r>
      <w:r w:rsidR="00A95853" w:rsidRPr="00E72666">
        <w:rPr>
          <w:rFonts w:ascii="Times" w:hAnsi="Times"/>
          <w:bCs/>
          <w:color w:val="000000" w:themeColor="text1"/>
        </w:rPr>
        <w:t xml:space="preserve">whether a condition was significantly different from healthy (p&lt;0.01), based on two-tailed Student’s t test. </w:t>
      </w:r>
      <w:r>
        <w:rPr>
          <w:rFonts w:ascii="Times" w:hAnsi="Times"/>
          <w:lang w:eastAsia="zh-CN"/>
        </w:rPr>
        <w:br w:type="page"/>
      </w:r>
    </w:p>
    <w:p w14:paraId="3B23FF9D" w14:textId="7F330000" w:rsidR="000D580E" w:rsidRPr="00D966C1" w:rsidRDefault="000D580E" w:rsidP="000D580E">
      <w:pPr>
        <w:spacing w:line="360" w:lineRule="auto"/>
        <w:rPr>
          <w:rFonts w:ascii="Times" w:hAnsi="Times"/>
          <w:color w:val="FF0000"/>
          <w:u w:val="single"/>
          <w:lang w:eastAsia="zh-CN"/>
        </w:rPr>
      </w:pPr>
      <w:r w:rsidRPr="000D580E">
        <w:rPr>
          <w:rFonts w:ascii="Times" w:hAnsi="Times"/>
          <w:noProof/>
          <w:lang w:val="en-GB" w:eastAsia="en-GB"/>
        </w:rPr>
        <w:lastRenderedPageBreak/>
        <w:drawing>
          <wp:inline distT="0" distB="0" distL="0" distR="0" wp14:anchorId="5AA91FA1" wp14:editId="2E05D0C0">
            <wp:extent cx="5943600" cy="3873500"/>
            <wp:effectExtent l="0" t="0" r="0" b="0"/>
            <wp:docPr id="3" name="Picture 2">
              <a:extLst xmlns:a="http://schemas.openxmlformats.org/drawingml/2006/main">
                <a:ext uri="{FF2B5EF4-FFF2-40B4-BE49-F238E27FC236}">
                  <a16:creationId xmlns:a16="http://schemas.microsoft.com/office/drawing/2014/main" id="{48788587-4CAE-D04C-B176-8F606B1F35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8788587-4CAE-D04C-B176-8F606B1F35D0}"/>
                        </a:ext>
                      </a:extLst>
                    </pic:cNvPr>
                    <pic:cNvPicPr>
                      <a:picLocks noChangeAspect="1"/>
                    </pic:cNvPicPr>
                  </pic:nvPicPr>
                  <pic:blipFill>
                    <a:blip r:embed="rId14"/>
                    <a:stretch>
                      <a:fillRect/>
                    </a:stretch>
                  </pic:blipFill>
                  <pic:spPr>
                    <a:xfrm>
                      <a:off x="0" y="0"/>
                      <a:ext cx="5943600" cy="3873500"/>
                    </a:xfrm>
                    <a:prstGeom prst="rect">
                      <a:avLst/>
                    </a:prstGeom>
                  </pic:spPr>
                </pic:pic>
              </a:graphicData>
            </a:graphic>
          </wp:inline>
        </w:drawing>
      </w:r>
      <w:r w:rsidRPr="000D580E">
        <w:t xml:space="preserve"> </w:t>
      </w:r>
      <w:r w:rsidRPr="00E72666">
        <w:rPr>
          <w:rFonts w:ascii="Times" w:hAnsi="Times"/>
          <w:b/>
          <w:color w:val="000000" w:themeColor="text1"/>
          <w:lang w:eastAsia="zh-CN"/>
        </w:rPr>
        <w:t xml:space="preserve">Supplementary Figure </w:t>
      </w:r>
      <w:r w:rsidR="001212BE">
        <w:rPr>
          <w:rFonts w:ascii="Times" w:hAnsi="Times"/>
          <w:b/>
          <w:color w:val="000000" w:themeColor="text1"/>
          <w:lang w:eastAsia="zh-CN"/>
        </w:rPr>
        <w:t>8</w:t>
      </w:r>
      <w:r w:rsidRPr="00E72666">
        <w:rPr>
          <w:rFonts w:ascii="Times" w:hAnsi="Times"/>
          <w:b/>
          <w:color w:val="000000" w:themeColor="text1"/>
          <w:lang w:eastAsia="zh-CN"/>
        </w:rPr>
        <w:t xml:space="preserve">: Frequency visits classified as belonging to different health states in cytokine activity groups </w:t>
      </w:r>
      <w:r w:rsidRPr="00E72666">
        <w:rPr>
          <w:rFonts w:ascii="Times" w:hAnsi="Times"/>
          <w:color w:val="000000" w:themeColor="text1"/>
          <w:lang w:eastAsia="zh-CN"/>
        </w:rPr>
        <w:t>Group 1 is IL-17/IL-22 inactive individuals (n=249 visits), Group 2 indeterminate (</w:t>
      </w:r>
      <w:r w:rsidR="005549C3" w:rsidRPr="00E72666">
        <w:rPr>
          <w:rFonts w:ascii="Times" w:hAnsi="Times"/>
          <w:color w:val="000000" w:themeColor="text1"/>
          <w:lang w:eastAsia="zh-CN"/>
        </w:rPr>
        <w:t>n</w:t>
      </w:r>
      <w:r w:rsidRPr="00E72666">
        <w:rPr>
          <w:rFonts w:ascii="Times" w:hAnsi="Times"/>
          <w:color w:val="000000" w:themeColor="text1"/>
          <w:lang w:eastAsia="zh-CN"/>
        </w:rPr>
        <w:t>=330</w:t>
      </w:r>
      <w:r w:rsidR="005549C3" w:rsidRPr="00E72666">
        <w:rPr>
          <w:rFonts w:ascii="Times" w:hAnsi="Times"/>
          <w:color w:val="000000" w:themeColor="text1"/>
          <w:lang w:eastAsia="zh-CN"/>
        </w:rPr>
        <w:t xml:space="preserve"> individuals</w:t>
      </w:r>
      <w:r w:rsidRPr="00E72666">
        <w:rPr>
          <w:rFonts w:ascii="Times" w:hAnsi="Times"/>
          <w:color w:val="000000" w:themeColor="text1"/>
          <w:lang w:eastAsia="zh-CN"/>
        </w:rPr>
        <w:t xml:space="preserve">), and </w:t>
      </w:r>
      <w:r w:rsidR="005549C3" w:rsidRPr="00E72666">
        <w:rPr>
          <w:rFonts w:ascii="Times" w:hAnsi="Times"/>
          <w:color w:val="000000" w:themeColor="text1"/>
          <w:lang w:eastAsia="zh-CN"/>
        </w:rPr>
        <w:t>G</w:t>
      </w:r>
      <w:r w:rsidRPr="00E72666">
        <w:rPr>
          <w:rFonts w:ascii="Times" w:hAnsi="Times"/>
          <w:color w:val="000000" w:themeColor="text1"/>
          <w:lang w:eastAsia="zh-CN"/>
        </w:rPr>
        <w:t xml:space="preserve">roup 3 is </w:t>
      </w:r>
      <w:r w:rsidR="005549C3" w:rsidRPr="00E72666">
        <w:rPr>
          <w:rFonts w:ascii="Times" w:hAnsi="Times"/>
          <w:color w:val="000000" w:themeColor="text1"/>
          <w:lang w:eastAsia="zh-CN"/>
        </w:rPr>
        <w:t xml:space="preserve">IL-17/IL-22 active individuals </w:t>
      </w:r>
      <w:r w:rsidRPr="00E72666">
        <w:rPr>
          <w:rFonts w:ascii="Times" w:hAnsi="Times"/>
          <w:color w:val="000000" w:themeColor="text1"/>
          <w:lang w:eastAsia="zh-CN"/>
        </w:rPr>
        <w:t>(</w:t>
      </w:r>
      <w:r w:rsidR="005549C3" w:rsidRPr="00E72666">
        <w:rPr>
          <w:rFonts w:ascii="Times" w:hAnsi="Times"/>
          <w:color w:val="000000" w:themeColor="text1"/>
          <w:lang w:eastAsia="zh-CN"/>
        </w:rPr>
        <w:t>n</w:t>
      </w:r>
      <w:r w:rsidRPr="00E72666">
        <w:rPr>
          <w:rFonts w:ascii="Times" w:hAnsi="Times"/>
          <w:color w:val="000000" w:themeColor="text1"/>
          <w:lang w:eastAsia="zh-CN"/>
        </w:rPr>
        <w:t>=98</w:t>
      </w:r>
      <w:r w:rsidR="005549C3" w:rsidRPr="00E72666">
        <w:rPr>
          <w:rFonts w:ascii="Times" w:hAnsi="Times"/>
          <w:color w:val="000000" w:themeColor="text1"/>
          <w:lang w:eastAsia="zh-CN"/>
        </w:rPr>
        <w:t xml:space="preserve"> visits</w:t>
      </w:r>
      <w:r w:rsidRPr="00E72666">
        <w:rPr>
          <w:rFonts w:ascii="Times" w:hAnsi="Times"/>
          <w:color w:val="000000" w:themeColor="text1"/>
          <w:lang w:eastAsia="zh-CN"/>
        </w:rPr>
        <w:t>).</w:t>
      </w:r>
      <w:r w:rsidRPr="00E72666">
        <w:rPr>
          <w:rFonts w:ascii="Times" w:hAnsi="Times"/>
          <w:color w:val="000000" w:themeColor="text1"/>
          <w:u w:val="single"/>
          <w:lang w:eastAsia="zh-CN"/>
        </w:rPr>
        <w:t xml:space="preserve"> </w:t>
      </w:r>
    </w:p>
    <w:p w14:paraId="68E3E5C2" w14:textId="4DF43F41" w:rsidR="00125563" w:rsidRDefault="00125563">
      <w:pPr>
        <w:rPr>
          <w:rFonts w:ascii="Times" w:hAnsi="Times"/>
          <w:lang w:eastAsia="zh-CN"/>
        </w:rPr>
      </w:pPr>
      <w:r>
        <w:rPr>
          <w:rFonts w:ascii="Times" w:hAnsi="Times"/>
          <w:lang w:eastAsia="zh-CN"/>
        </w:rPr>
        <w:br w:type="page"/>
      </w:r>
    </w:p>
    <w:p w14:paraId="2E2B7403" w14:textId="540E50EF" w:rsidR="00781248" w:rsidRDefault="00781248" w:rsidP="000D580E">
      <w:pPr>
        <w:spacing w:line="360" w:lineRule="auto"/>
        <w:rPr>
          <w:rFonts w:ascii="Times" w:hAnsi="Times"/>
          <w:lang w:eastAsia="zh-CN"/>
        </w:rPr>
      </w:pPr>
    </w:p>
    <w:p w14:paraId="4443C35B" w14:textId="03DBF8DE" w:rsidR="00125563" w:rsidRDefault="00125563" w:rsidP="000D580E">
      <w:pPr>
        <w:spacing w:line="360" w:lineRule="auto"/>
        <w:rPr>
          <w:rFonts w:ascii="Times" w:hAnsi="Times"/>
          <w:lang w:eastAsia="zh-CN"/>
        </w:rPr>
      </w:pPr>
      <w:r w:rsidRPr="00125563">
        <w:rPr>
          <w:rFonts w:ascii="Times" w:hAnsi="Times"/>
          <w:noProof/>
          <w:lang w:val="en-GB" w:eastAsia="en-GB"/>
        </w:rPr>
        <w:drawing>
          <wp:inline distT="0" distB="0" distL="0" distR="0" wp14:anchorId="0AF5DA3A" wp14:editId="280FDE9D">
            <wp:extent cx="6291302" cy="39891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0409" cy="3994970"/>
                    </a:xfrm>
                    <a:prstGeom prst="rect">
                      <a:avLst/>
                    </a:prstGeom>
                  </pic:spPr>
                </pic:pic>
              </a:graphicData>
            </a:graphic>
          </wp:inline>
        </w:drawing>
      </w:r>
    </w:p>
    <w:p w14:paraId="28E7093C" w14:textId="2EA7F2E0" w:rsidR="00125563" w:rsidRDefault="00125563" w:rsidP="000D580E">
      <w:pPr>
        <w:spacing w:line="360" w:lineRule="auto"/>
        <w:rPr>
          <w:rFonts w:ascii="Times" w:hAnsi="Times"/>
          <w:lang w:eastAsia="zh-CN"/>
        </w:rPr>
      </w:pPr>
    </w:p>
    <w:p w14:paraId="7C1D573C" w14:textId="63F546D6" w:rsidR="00F72511" w:rsidRPr="00E72666" w:rsidRDefault="00125563" w:rsidP="000D580E">
      <w:pPr>
        <w:spacing w:line="360" w:lineRule="auto"/>
        <w:rPr>
          <w:rFonts w:ascii="Times" w:hAnsi="Times"/>
          <w:color w:val="000000" w:themeColor="text1"/>
          <w:lang w:eastAsia="zh-CN"/>
        </w:rPr>
      </w:pPr>
      <w:r>
        <w:rPr>
          <w:rFonts w:ascii="Times" w:hAnsi="Times"/>
          <w:b/>
          <w:lang w:eastAsia="zh-CN"/>
        </w:rPr>
        <w:t xml:space="preserve">Supplementary Figure </w:t>
      </w:r>
      <w:r w:rsidR="001212BE">
        <w:rPr>
          <w:rFonts w:ascii="Times" w:hAnsi="Times"/>
          <w:b/>
          <w:lang w:eastAsia="zh-CN"/>
        </w:rPr>
        <w:t>9</w:t>
      </w:r>
      <w:r>
        <w:rPr>
          <w:rFonts w:ascii="Times" w:hAnsi="Times"/>
          <w:b/>
          <w:lang w:eastAsia="zh-CN"/>
        </w:rPr>
        <w:t>: Age, BMI, and fasting plasma glucose levels of participants from different cytokine-related groups.</w:t>
      </w:r>
      <w:r w:rsidR="008C3D23">
        <w:rPr>
          <w:rFonts w:ascii="Times" w:hAnsi="Times"/>
          <w:b/>
          <w:lang w:eastAsia="zh-CN"/>
        </w:rPr>
        <w:t xml:space="preserve"> </w:t>
      </w:r>
      <w:r w:rsidRPr="00125563">
        <w:rPr>
          <w:rFonts w:ascii="Times" w:hAnsi="Times"/>
          <w:b/>
          <w:lang w:eastAsia="zh-CN"/>
        </w:rPr>
        <w:t>A</w:t>
      </w:r>
      <w:r w:rsidRPr="00E72666">
        <w:rPr>
          <w:rFonts w:ascii="Times" w:hAnsi="Times"/>
          <w:b/>
          <w:color w:val="000000" w:themeColor="text1"/>
          <w:lang w:eastAsia="zh-CN"/>
        </w:rPr>
        <w:t>)</w:t>
      </w:r>
      <w:r w:rsidRPr="00E72666">
        <w:rPr>
          <w:rFonts w:ascii="Times" w:hAnsi="Times"/>
          <w:color w:val="000000" w:themeColor="text1"/>
          <w:lang w:eastAsia="zh-CN"/>
        </w:rPr>
        <w:t xml:space="preserve"> Percentage of insulin resistant individuals in each of the group</w:t>
      </w:r>
      <w:r w:rsidRPr="00E72666">
        <w:rPr>
          <w:rFonts w:ascii="Times" w:hAnsi="Times"/>
          <w:color w:val="000000" w:themeColor="text1"/>
        </w:rPr>
        <w:t xml:space="preserve">, where insulin resistance is determined based on steady-state plasma glucose measurements (IR: SSPG </w:t>
      </w:r>
      <w:r w:rsidRPr="00E72666">
        <w:rPr>
          <w:rFonts w:ascii="Times" w:hAnsi="Times" w:hint="eastAsia"/>
          <w:color w:val="000000" w:themeColor="text1"/>
        </w:rPr>
        <w:t>≥</w:t>
      </w:r>
      <w:r w:rsidRPr="00E72666">
        <w:rPr>
          <w:rFonts w:ascii="Times" w:hAnsi="Times"/>
          <w:color w:val="000000" w:themeColor="text1"/>
        </w:rPr>
        <w:t xml:space="preserve"> 150mg/dl, IS: SSPG &lt; 150mg/dl). The total number of individuals in each group is given at the top of each column.</w:t>
      </w:r>
      <w:r w:rsidRPr="00E72666">
        <w:rPr>
          <w:rFonts w:ascii="Times" w:hAnsi="Times"/>
          <w:color w:val="000000" w:themeColor="text1"/>
          <w:lang w:eastAsia="zh-CN"/>
        </w:rPr>
        <w:t xml:space="preserve"> </w:t>
      </w:r>
      <w:r w:rsidRPr="00E72666">
        <w:rPr>
          <w:rFonts w:ascii="Times" w:hAnsi="Times"/>
          <w:b/>
          <w:color w:val="000000" w:themeColor="text1"/>
          <w:lang w:eastAsia="zh-CN"/>
        </w:rPr>
        <w:t>B)</w:t>
      </w:r>
      <w:r w:rsidRPr="00E72666">
        <w:rPr>
          <w:rFonts w:ascii="Times" w:hAnsi="Times"/>
          <w:color w:val="000000" w:themeColor="text1"/>
          <w:lang w:eastAsia="zh-CN"/>
        </w:rPr>
        <w:t xml:space="preserve"> Comparisons of age (years), Body Mass Index (BMI, kg/m2), and Fasting Plasmid Glucose (FPG, </w:t>
      </w:r>
      <w:proofErr w:type="spellStart"/>
      <w:r w:rsidRPr="00E72666">
        <w:rPr>
          <w:rFonts w:ascii="Times" w:hAnsi="Times"/>
          <w:color w:val="000000" w:themeColor="text1"/>
          <w:lang w:eastAsia="zh-CN"/>
        </w:rPr>
        <w:t>mmoL</w:t>
      </w:r>
      <w:proofErr w:type="spellEnd"/>
      <w:r w:rsidRPr="00E72666">
        <w:rPr>
          <w:rFonts w:ascii="Times" w:hAnsi="Times"/>
          <w:color w:val="000000" w:themeColor="text1"/>
          <w:lang w:eastAsia="zh-CN"/>
        </w:rPr>
        <w:t>/L) across groups. Pairwise t test was performed (* 0.01&lt;P&lt;0.05; ns: p&gt;0.05). Group 1: Low Activity (LA), Group 2: Indeterminate Activity (IA), Group 3: High Activity (HA)</w:t>
      </w:r>
    </w:p>
    <w:p w14:paraId="0BF0CE2B" w14:textId="77777777" w:rsidR="00F72511" w:rsidRPr="00E72666" w:rsidRDefault="00F72511">
      <w:pPr>
        <w:rPr>
          <w:rFonts w:ascii="Times" w:hAnsi="Times"/>
          <w:color w:val="000000" w:themeColor="text1"/>
          <w:lang w:eastAsia="zh-CN"/>
        </w:rPr>
      </w:pPr>
      <w:r w:rsidRPr="00E72666">
        <w:rPr>
          <w:rFonts w:ascii="Times" w:hAnsi="Times"/>
          <w:color w:val="000000" w:themeColor="text1"/>
          <w:lang w:eastAsia="zh-CN"/>
        </w:rPr>
        <w:br w:type="page"/>
      </w:r>
    </w:p>
    <w:p w14:paraId="1C316D86" w14:textId="77777777" w:rsidR="00F72511" w:rsidRDefault="00F72511" w:rsidP="000D580E">
      <w:pPr>
        <w:spacing w:line="360" w:lineRule="auto"/>
        <w:rPr>
          <w:rFonts w:ascii="Times" w:hAnsi="Times"/>
          <w:b/>
          <w:lang w:eastAsia="zh-CN"/>
        </w:rPr>
        <w:sectPr w:rsidR="00F72511" w:rsidSect="00771027">
          <w:pgSz w:w="12240" w:h="15840"/>
          <w:pgMar w:top="1440" w:right="1440" w:bottom="1440" w:left="1440" w:header="1008" w:footer="144" w:gutter="0"/>
          <w:cols w:space="720"/>
          <w:docGrid w:linePitch="360"/>
        </w:sectPr>
      </w:pPr>
    </w:p>
    <w:p w14:paraId="179CCEA6" w14:textId="421A38C5" w:rsidR="00125563" w:rsidRDefault="00F72511" w:rsidP="000D580E">
      <w:pPr>
        <w:spacing w:line="360" w:lineRule="auto"/>
        <w:rPr>
          <w:rFonts w:ascii="Times" w:hAnsi="Times"/>
          <w:b/>
          <w:lang w:eastAsia="zh-CN"/>
        </w:rPr>
      </w:pPr>
      <w:r w:rsidRPr="00F72511">
        <w:rPr>
          <w:rFonts w:ascii="Times" w:hAnsi="Times"/>
          <w:b/>
          <w:noProof/>
          <w:lang w:val="en-GB" w:eastAsia="en-GB"/>
        </w:rPr>
        <w:lastRenderedPageBreak/>
        <w:drawing>
          <wp:inline distT="0" distB="0" distL="0" distR="0" wp14:anchorId="0300C798" wp14:editId="1D6A2F03">
            <wp:extent cx="8557617" cy="3647552"/>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561473" cy="3649196"/>
                    </a:xfrm>
                    <a:prstGeom prst="rect">
                      <a:avLst/>
                    </a:prstGeom>
                  </pic:spPr>
                </pic:pic>
              </a:graphicData>
            </a:graphic>
          </wp:inline>
        </w:drawing>
      </w:r>
    </w:p>
    <w:p w14:paraId="22CD3E34" w14:textId="2FC12D23" w:rsidR="00AB4305" w:rsidRDefault="00F72511" w:rsidP="000D580E">
      <w:pPr>
        <w:spacing w:line="360" w:lineRule="auto"/>
        <w:rPr>
          <w:rFonts w:ascii="Times" w:hAnsi="Times"/>
          <w:lang w:eastAsia="zh-CN"/>
        </w:rPr>
      </w:pPr>
      <w:r>
        <w:rPr>
          <w:rFonts w:ascii="Times" w:hAnsi="Times"/>
          <w:b/>
          <w:lang w:eastAsia="zh-CN"/>
        </w:rPr>
        <w:t xml:space="preserve">Supplementary Figure </w:t>
      </w:r>
      <w:r w:rsidR="001212BE">
        <w:rPr>
          <w:rFonts w:ascii="Times" w:hAnsi="Times"/>
          <w:b/>
          <w:lang w:eastAsia="zh-CN"/>
        </w:rPr>
        <w:t>10</w:t>
      </w:r>
      <w:r>
        <w:rPr>
          <w:rFonts w:ascii="Times" w:hAnsi="Times"/>
          <w:b/>
          <w:lang w:eastAsia="zh-CN"/>
        </w:rPr>
        <w:t>: Longitudinal modelling of serum metabolism markers and blood cell volume shows higher metabolic disease risk in individuals from the IL-17/IL-22 inactive group.</w:t>
      </w:r>
      <w:r w:rsidR="008C3D23">
        <w:rPr>
          <w:rFonts w:ascii="Times" w:hAnsi="Times"/>
          <w:b/>
          <w:lang w:eastAsia="zh-CN"/>
        </w:rPr>
        <w:t xml:space="preserve"> </w:t>
      </w:r>
      <w:r>
        <w:rPr>
          <w:rFonts w:ascii="Times" w:hAnsi="Times"/>
          <w:lang w:eastAsia="zh-CN"/>
        </w:rPr>
        <w:t>G</w:t>
      </w:r>
      <w:r w:rsidRPr="00F72511">
        <w:rPr>
          <w:rFonts w:ascii="Times" w:hAnsi="Times"/>
          <w:lang w:eastAsia="zh-CN"/>
        </w:rPr>
        <w:t>roup is treated as a categorical variable</w:t>
      </w:r>
      <w:r>
        <w:rPr>
          <w:rFonts w:ascii="Times" w:hAnsi="Times"/>
          <w:lang w:eastAsia="zh-CN"/>
        </w:rPr>
        <w:t>, with x</w:t>
      </w:r>
      <w:r w:rsidRPr="00F72511">
        <w:rPr>
          <w:rFonts w:ascii="Times" w:hAnsi="Times"/>
          <w:lang w:eastAsia="zh-CN"/>
        </w:rPr>
        <w:t>3 represent</w:t>
      </w:r>
      <w:r>
        <w:rPr>
          <w:rFonts w:ascii="Times" w:hAnsi="Times"/>
          <w:lang w:eastAsia="zh-CN"/>
        </w:rPr>
        <w:t>ing</w:t>
      </w:r>
      <w:r w:rsidRPr="00F72511">
        <w:rPr>
          <w:rFonts w:ascii="Times" w:hAnsi="Times"/>
          <w:lang w:eastAsia="zh-CN"/>
        </w:rPr>
        <w:t xml:space="preserve"> the HA group,</w:t>
      </w:r>
      <w:r>
        <w:rPr>
          <w:rFonts w:ascii="Times" w:hAnsi="Times"/>
          <w:lang w:eastAsia="zh-CN"/>
        </w:rPr>
        <w:t xml:space="preserve"> and</w:t>
      </w:r>
      <w:r w:rsidRPr="00F72511">
        <w:rPr>
          <w:rFonts w:ascii="Times" w:hAnsi="Times"/>
          <w:lang w:eastAsia="zh-CN"/>
        </w:rPr>
        <w:t xml:space="preserve"> </w:t>
      </w:r>
      <w:r>
        <w:rPr>
          <w:rFonts w:ascii="Times" w:hAnsi="Times"/>
          <w:lang w:eastAsia="zh-CN"/>
        </w:rPr>
        <w:t>x</w:t>
      </w:r>
      <w:r w:rsidRPr="00F72511">
        <w:rPr>
          <w:rFonts w:ascii="Times" w:hAnsi="Times"/>
          <w:lang w:eastAsia="zh-CN"/>
        </w:rPr>
        <w:t xml:space="preserve">2 </w:t>
      </w:r>
      <w:r>
        <w:rPr>
          <w:rFonts w:ascii="Times" w:hAnsi="Times"/>
          <w:lang w:eastAsia="zh-CN"/>
        </w:rPr>
        <w:t>re</w:t>
      </w:r>
      <w:r w:rsidRPr="00F72511">
        <w:rPr>
          <w:rFonts w:ascii="Times" w:hAnsi="Times"/>
          <w:lang w:eastAsia="zh-CN"/>
        </w:rPr>
        <w:t>present</w:t>
      </w:r>
      <w:r>
        <w:rPr>
          <w:rFonts w:ascii="Times" w:hAnsi="Times"/>
          <w:lang w:eastAsia="zh-CN"/>
        </w:rPr>
        <w:t>ing the</w:t>
      </w:r>
      <w:r w:rsidRPr="00F72511">
        <w:rPr>
          <w:rFonts w:ascii="Times" w:hAnsi="Times"/>
          <w:lang w:eastAsia="zh-CN"/>
        </w:rPr>
        <w:t xml:space="preserve"> </w:t>
      </w:r>
      <w:r w:rsidR="003A09D2">
        <w:rPr>
          <w:rFonts w:ascii="Times" w:hAnsi="Times"/>
          <w:lang w:eastAsia="zh-CN"/>
        </w:rPr>
        <w:t>indeterminate</w:t>
      </w:r>
      <w:r w:rsidRPr="00F72511">
        <w:rPr>
          <w:rFonts w:ascii="Times" w:hAnsi="Times"/>
          <w:lang w:eastAsia="zh-CN"/>
        </w:rPr>
        <w:t xml:space="preserve"> group. Sex, age (adjusted for the period of their study involvement), BMI and number of days between project start to each sample collection (Days) are included in the model. Regression coefficients (beta) are plotted for each variable. Thick lines on each variable indicate 50% credible intervals (CI) or ± 1 SD, thin lines indicate 95% CI or ± 2SD.</w:t>
      </w:r>
      <w:r w:rsidR="005F1E15">
        <w:rPr>
          <w:rFonts w:ascii="Times" w:hAnsi="Times"/>
          <w:lang w:eastAsia="zh-CN"/>
        </w:rPr>
        <w:t xml:space="preserve"> This analysis is based on 88, 285, and 229 repeated measurements for HA, IA, and LA individuals, respectively. </w:t>
      </w:r>
    </w:p>
    <w:p w14:paraId="6F14596D" w14:textId="77777777" w:rsidR="00AB4305" w:rsidRDefault="00AB4305">
      <w:pPr>
        <w:rPr>
          <w:rFonts w:ascii="Times" w:hAnsi="Times"/>
          <w:lang w:eastAsia="zh-CN"/>
        </w:rPr>
      </w:pPr>
      <w:r>
        <w:rPr>
          <w:rFonts w:ascii="Times" w:hAnsi="Times"/>
          <w:lang w:eastAsia="zh-CN"/>
        </w:rPr>
        <w:br w:type="page"/>
      </w:r>
    </w:p>
    <w:p w14:paraId="72121860" w14:textId="77777777" w:rsidR="00AB4305" w:rsidRDefault="00AB4305" w:rsidP="000D580E">
      <w:pPr>
        <w:spacing w:line="360" w:lineRule="auto"/>
        <w:rPr>
          <w:rFonts w:ascii="Times" w:hAnsi="Times"/>
          <w:b/>
          <w:lang w:eastAsia="zh-CN"/>
        </w:rPr>
        <w:sectPr w:rsidR="00AB4305" w:rsidSect="00F72511">
          <w:pgSz w:w="15840" w:h="12240" w:orient="landscape"/>
          <w:pgMar w:top="1440" w:right="1440" w:bottom="1440" w:left="1440" w:header="1008" w:footer="144" w:gutter="0"/>
          <w:cols w:space="720"/>
          <w:docGrid w:linePitch="360"/>
        </w:sectPr>
      </w:pPr>
    </w:p>
    <w:p w14:paraId="37DF4C4A" w14:textId="36621FA6" w:rsidR="00F72511" w:rsidRDefault="00BC5DFB" w:rsidP="00BC5DFB">
      <w:pPr>
        <w:spacing w:line="360" w:lineRule="auto"/>
        <w:jc w:val="center"/>
        <w:rPr>
          <w:rFonts w:ascii="Times" w:hAnsi="Times"/>
          <w:b/>
          <w:lang w:eastAsia="zh-CN"/>
        </w:rPr>
      </w:pPr>
      <w:r w:rsidRPr="00BC5DFB">
        <w:rPr>
          <w:rFonts w:ascii="Times" w:hAnsi="Times"/>
          <w:b/>
          <w:noProof/>
          <w:lang w:eastAsia="zh-CN"/>
        </w:rPr>
        <w:lastRenderedPageBreak/>
        <w:drawing>
          <wp:inline distT="0" distB="0" distL="0" distR="0" wp14:anchorId="6D64F8B8" wp14:editId="74DF3D54">
            <wp:extent cx="4082995" cy="3148617"/>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93117" cy="3156423"/>
                    </a:xfrm>
                    <a:prstGeom prst="rect">
                      <a:avLst/>
                    </a:prstGeom>
                  </pic:spPr>
                </pic:pic>
              </a:graphicData>
            </a:graphic>
          </wp:inline>
        </w:drawing>
      </w:r>
    </w:p>
    <w:p w14:paraId="546E9061" w14:textId="3340A545" w:rsidR="00AB4305" w:rsidRDefault="00AB4305" w:rsidP="00AB4305">
      <w:pPr>
        <w:spacing w:line="360" w:lineRule="auto"/>
        <w:jc w:val="center"/>
        <w:rPr>
          <w:rFonts w:ascii="Times" w:hAnsi="Times"/>
          <w:b/>
          <w:lang w:eastAsia="zh-CN"/>
        </w:rPr>
      </w:pPr>
    </w:p>
    <w:p w14:paraId="2817FB1C" w14:textId="4B89DB8A" w:rsidR="003E4D12" w:rsidRPr="008C3D23" w:rsidRDefault="00AB4305" w:rsidP="00AB4305">
      <w:pPr>
        <w:spacing w:line="360" w:lineRule="auto"/>
        <w:rPr>
          <w:rFonts w:ascii="Times" w:hAnsi="Times"/>
          <w:b/>
          <w:lang w:eastAsia="zh-CN"/>
        </w:rPr>
      </w:pPr>
      <w:r>
        <w:rPr>
          <w:rFonts w:ascii="Times" w:hAnsi="Times"/>
          <w:b/>
          <w:lang w:eastAsia="zh-CN"/>
        </w:rPr>
        <w:t xml:space="preserve">Supplementary Figure </w:t>
      </w:r>
      <w:r w:rsidR="0057752B">
        <w:rPr>
          <w:rFonts w:ascii="Times" w:hAnsi="Times"/>
          <w:b/>
          <w:lang w:eastAsia="zh-CN"/>
        </w:rPr>
        <w:t>1</w:t>
      </w:r>
      <w:r w:rsidR="001212BE">
        <w:rPr>
          <w:rFonts w:ascii="Times" w:hAnsi="Times"/>
          <w:b/>
          <w:lang w:eastAsia="zh-CN"/>
        </w:rPr>
        <w:t>1</w:t>
      </w:r>
      <w:r>
        <w:rPr>
          <w:rFonts w:ascii="Times" w:hAnsi="Times"/>
          <w:b/>
          <w:lang w:eastAsia="zh-CN"/>
        </w:rPr>
        <w:t>: Longitudinal modelling of Shannon diversity shows higher diversity in individuals from the IL-17/IL-22 active group.</w:t>
      </w:r>
      <w:r w:rsidR="008C3D23">
        <w:rPr>
          <w:rFonts w:ascii="Times" w:hAnsi="Times"/>
          <w:b/>
          <w:lang w:eastAsia="zh-CN"/>
        </w:rPr>
        <w:t xml:space="preserve"> </w:t>
      </w:r>
      <w:r>
        <w:rPr>
          <w:rFonts w:ascii="Times" w:hAnsi="Times"/>
          <w:lang w:eastAsia="zh-CN"/>
        </w:rPr>
        <w:t>S</w:t>
      </w:r>
      <w:r w:rsidRPr="00AB4305">
        <w:rPr>
          <w:rFonts w:ascii="Times" w:hAnsi="Times"/>
          <w:lang w:eastAsia="zh-CN"/>
        </w:rPr>
        <w:t>ex, age and BMI are included to build a model for the relationship between LA, IA and HA groups and their gut microbiome Shannon diversity. Regression estimates are plotted with thick lines for each variable indicate 50% Credible intervals or ± 1 SD of the correlation coefficient, thin lines for 95% CI or ± 2SD.</w:t>
      </w:r>
      <w:r w:rsidR="005F1E15">
        <w:rPr>
          <w:rFonts w:ascii="Times" w:hAnsi="Times"/>
          <w:lang w:eastAsia="zh-CN"/>
        </w:rPr>
        <w:t xml:space="preserve"> This analysis is based on 94</w:t>
      </w:r>
      <w:r w:rsidR="001B1304">
        <w:rPr>
          <w:rFonts w:ascii="Times" w:hAnsi="Times"/>
          <w:lang w:eastAsia="zh-CN"/>
        </w:rPr>
        <w:t>, 285,</w:t>
      </w:r>
      <w:r w:rsidR="005F1E15">
        <w:rPr>
          <w:rFonts w:ascii="Times" w:hAnsi="Times"/>
          <w:lang w:eastAsia="zh-CN"/>
        </w:rPr>
        <w:t xml:space="preserve"> and 243 measurements for HA</w:t>
      </w:r>
      <w:r w:rsidR="001B1304">
        <w:rPr>
          <w:rFonts w:ascii="Times" w:hAnsi="Times"/>
          <w:lang w:eastAsia="zh-CN"/>
        </w:rPr>
        <w:t xml:space="preserve">, IA, </w:t>
      </w:r>
      <w:r w:rsidR="005F1E15">
        <w:rPr>
          <w:rFonts w:ascii="Times" w:hAnsi="Times"/>
          <w:lang w:eastAsia="zh-CN"/>
        </w:rPr>
        <w:t xml:space="preserve">and LA individuals, respectively.  </w:t>
      </w:r>
    </w:p>
    <w:p w14:paraId="1744851A" w14:textId="4D5B76B9" w:rsidR="003E4D12" w:rsidRDefault="003E4D12">
      <w:pPr>
        <w:rPr>
          <w:rFonts w:ascii="Times" w:hAnsi="Times"/>
          <w:lang w:eastAsia="zh-CN"/>
        </w:rPr>
      </w:pPr>
      <w:r>
        <w:rPr>
          <w:rFonts w:ascii="Times" w:hAnsi="Times"/>
          <w:lang w:eastAsia="zh-CN"/>
        </w:rPr>
        <w:br w:type="page"/>
      </w:r>
    </w:p>
    <w:p w14:paraId="48E679D0" w14:textId="77777777" w:rsidR="00E95696" w:rsidRDefault="00E95696">
      <w:pPr>
        <w:rPr>
          <w:rFonts w:ascii="Times" w:hAnsi="Times"/>
          <w:lang w:eastAsia="zh-CN"/>
        </w:rPr>
      </w:pPr>
    </w:p>
    <w:p w14:paraId="06459BAA" w14:textId="4F57ACCC" w:rsidR="0088754F" w:rsidRDefault="0088754F" w:rsidP="003E4D12">
      <w:pPr>
        <w:spacing w:line="360" w:lineRule="auto"/>
        <w:jc w:val="center"/>
        <w:rPr>
          <w:rFonts w:ascii="Times" w:hAnsi="Times"/>
          <w:lang w:eastAsia="zh-CN"/>
        </w:rPr>
      </w:pPr>
      <w:r w:rsidRPr="0088754F">
        <w:rPr>
          <w:rFonts w:ascii="Times" w:hAnsi="Times"/>
          <w:noProof/>
          <w:lang w:eastAsia="zh-CN"/>
        </w:rPr>
        <w:drawing>
          <wp:inline distT="0" distB="0" distL="0" distR="0" wp14:anchorId="718CDB6F" wp14:editId="3978C989">
            <wp:extent cx="3926184" cy="3028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92343" cy="3079990"/>
                    </a:xfrm>
                    <a:prstGeom prst="rect">
                      <a:avLst/>
                    </a:prstGeom>
                  </pic:spPr>
                </pic:pic>
              </a:graphicData>
            </a:graphic>
          </wp:inline>
        </w:drawing>
      </w:r>
    </w:p>
    <w:p w14:paraId="773497CF" w14:textId="6A266D17" w:rsidR="00AB4305" w:rsidRDefault="00AB4305" w:rsidP="003E4D12">
      <w:pPr>
        <w:spacing w:line="360" w:lineRule="auto"/>
        <w:jc w:val="center"/>
        <w:rPr>
          <w:rFonts w:ascii="Times" w:hAnsi="Times"/>
          <w:lang w:eastAsia="zh-CN"/>
        </w:rPr>
      </w:pPr>
    </w:p>
    <w:p w14:paraId="797FB14B" w14:textId="6CC04FD5" w:rsidR="00E95696" w:rsidRPr="008C3D23" w:rsidRDefault="003E4D12" w:rsidP="003E4D12">
      <w:pPr>
        <w:spacing w:line="360" w:lineRule="auto"/>
        <w:rPr>
          <w:rFonts w:ascii="Times" w:hAnsi="Times"/>
          <w:b/>
          <w:lang w:eastAsia="zh-CN"/>
        </w:rPr>
      </w:pPr>
      <w:r w:rsidRPr="00E95696">
        <w:rPr>
          <w:rFonts w:ascii="Times" w:hAnsi="Times"/>
          <w:b/>
          <w:lang w:eastAsia="zh-CN"/>
        </w:rPr>
        <w:t>Supplementary Figure 1</w:t>
      </w:r>
      <w:r w:rsidR="001212BE">
        <w:rPr>
          <w:rFonts w:ascii="Times" w:hAnsi="Times"/>
          <w:b/>
          <w:lang w:eastAsia="zh-CN"/>
        </w:rPr>
        <w:t>2</w:t>
      </w:r>
      <w:r w:rsidRPr="00E95696">
        <w:rPr>
          <w:rFonts w:ascii="Times" w:hAnsi="Times"/>
          <w:b/>
          <w:lang w:eastAsia="zh-CN"/>
        </w:rPr>
        <w:t>: Longitudinal modelling of Firmicutes to Bacteroidetes ratio</w:t>
      </w:r>
      <w:r w:rsidR="008C3D23">
        <w:rPr>
          <w:rFonts w:ascii="Times" w:hAnsi="Times"/>
          <w:b/>
          <w:lang w:eastAsia="zh-CN"/>
        </w:rPr>
        <w:t xml:space="preserve"> </w:t>
      </w:r>
      <w:r w:rsidRPr="00E95696">
        <w:rPr>
          <w:rFonts w:ascii="Times" w:hAnsi="Times"/>
          <w:b/>
          <w:lang w:eastAsia="zh-CN"/>
        </w:rPr>
        <w:t xml:space="preserve">shows </w:t>
      </w:r>
      <w:r w:rsidR="00E95696" w:rsidRPr="00E95696">
        <w:rPr>
          <w:rFonts w:ascii="Times" w:hAnsi="Times"/>
          <w:b/>
          <w:lang w:eastAsia="zh-CN"/>
        </w:rPr>
        <w:t>a higher F:B ratio in individuals from the IL-17/IL-22 active group.</w:t>
      </w:r>
      <w:r w:rsidR="008C3D23">
        <w:rPr>
          <w:rFonts w:ascii="Times" w:hAnsi="Times"/>
          <w:b/>
          <w:lang w:eastAsia="zh-CN"/>
        </w:rPr>
        <w:t xml:space="preserve"> </w:t>
      </w:r>
      <w:r w:rsidR="00E95696">
        <w:rPr>
          <w:rFonts w:ascii="Times" w:hAnsi="Times"/>
          <w:lang w:eastAsia="zh-CN"/>
        </w:rPr>
        <w:t>S</w:t>
      </w:r>
      <w:r w:rsidR="00E95696" w:rsidRPr="00E95696">
        <w:rPr>
          <w:rFonts w:ascii="Times" w:hAnsi="Times"/>
          <w:lang w:eastAsia="zh-CN"/>
        </w:rPr>
        <w:t>ex, age and BMI are included to build a model for the relationship between LA, IA and HA group and Firmicutes to Bacteroidetes ratio. Regression estimates are plotted with thick lines for each variable indicate 50% Credible intervals or ± 1 SD of the correlation coefficient, thin lines for 95% CI or ± 2SD.</w:t>
      </w:r>
      <w:r w:rsidR="005F1E15">
        <w:rPr>
          <w:rFonts w:ascii="Times" w:hAnsi="Times"/>
          <w:lang w:eastAsia="zh-CN"/>
        </w:rPr>
        <w:t xml:space="preserve"> </w:t>
      </w:r>
      <w:r w:rsidR="001B1304">
        <w:rPr>
          <w:rFonts w:ascii="Times" w:hAnsi="Times"/>
          <w:lang w:eastAsia="zh-CN"/>
        </w:rPr>
        <w:t xml:space="preserve">This analysis is based on 94, 285, and 243 measurements for HA, IA, and LA individuals, respectively.  </w:t>
      </w:r>
    </w:p>
    <w:p w14:paraId="550B3F0E" w14:textId="2B7ED900" w:rsidR="001B1304" w:rsidRDefault="001B1304">
      <w:pPr>
        <w:rPr>
          <w:rFonts w:ascii="Times" w:hAnsi="Times"/>
          <w:lang w:eastAsia="zh-CN"/>
        </w:rPr>
      </w:pPr>
      <w:r>
        <w:rPr>
          <w:rFonts w:ascii="Times" w:hAnsi="Times"/>
          <w:lang w:eastAsia="zh-CN"/>
        </w:rPr>
        <w:br w:type="page"/>
      </w:r>
    </w:p>
    <w:p w14:paraId="1CFAE224" w14:textId="77777777" w:rsidR="001B1304" w:rsidRDefault="001B1304" w:rsidP="003E4D12">
      <w:pPr>
        <w:spacing w:line="360" w:lineRule="auto"/>
        <w:rPr>
          <w:rFonts w:ascii="Times" w:hAnsi="Times"/>
          <w:lang w:eastAsia="zh-CN"/>
        </w:rPr>
      </w:pPr>
    </w:p>
    <w:p w14:paraId="38A9FCCB" w14:textId="1DA51F63" w:rsidR="001B1304" w:rsidRDefault="00A07FD1" w:rsidP="003E4D12">
      <w:pPr>
        <w:spacing w:line="360" w:lineRule="auto"/>
        <w:rPr>
          <w:rFonts w:ascii="Times" w:hAnsi="Times"/>
          <w:lang w:eastAsia="zh-CN"/>
        </w:rPr>
      </w:pPr>
      <w:r w:rsidRPr="00A07FD1">
        <w:rPr>
          <w:rFonts w:ascii="Times" w:hAnsi="Times"/>
          <w:noProof/>
          <w:lang w:eastAsia="zh-CN"/>
        </w:rPr>
        <w:drawing>
          <wp:inline distT="0" distB="0" distL="0" distR="0" wp14:anchorId="3D06A192" wp14:editId="45886C07">
            <wp:extent cx="5943600" cy="4885055"/>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4885055"/>
                    </a:xfrm>
                    <a:prstGeom prst="rect">
                      <a:avLst/>
                    </a:prstGeom>
                  </pic:spPr>
                </pic:pic>
              </a:graphicData>
            </a:graphic>
          </wp:inline>
        </w:drawing>
      </w:r>
    </w:p>
    <w:p w14:paraId="62B1E072" w14:textId="77777777" w:rsidR="00A07FD1" w:rsidRDefault="00A07FD1" w:rsidP="003E4D12">
      <w:pPr>
        <w:spacing w:line="360" w:lineRule="auto"/>
        <w:rPr>
          <w:rFonts w:ascii="Times" w:hAnsi="Times"/>
          <w:lang w:eastAsia="zh-CN"/>
        </w:rPr>
      </w:pPr>
    </w:p>
    <w:p w14:paraId="127E86A0" w14:textId="45176206" w:rsidR="002E53AA" w:rsidRDefault="001B1304" w:rsidP="003E4D12">
      <w:pPr>
        <w:spacing w:line="360" w:lineRule="auto"/>
        <w:rPr>
          <w:rFonts w:ascii="Times" w:hAnsi="Times"/>
          <w:lang w:eastAsia="zh-CN"/>
        </w:rPr>
      </w:pPr>
      <w:r w:rsidRPr="00BC5DFB">
        <w:rPr>
          <w:rFonts w:ascii="Times" w:hAnsi="Times"/>
          <w:b/>
          <w:bCs/>
          <w:lang w:eastAsia="zh-CN"/>
        </w:rPr>
        <w:t>Supplementary Figure 1</w:t>
      </w:r>
      <w:r w:rsidR="001212BE">
        <w:rPr>
          <w:rFonts w:ascii="Times" w:hAnsi="Times"/>
          <w:b/>
          <w:bCs/>
          <w:lang w:eastAsia="zh-CN"/>
        </w:rPr>
        <w:t>3</w:t>
      </w:r>
      <w:r w:rsidRPr="00BC5DFB">
        <w:rPr>
          <w:rFonts w:ascii="Times" w:hAnsi="Times"/>
          <w:b/>
          <w:bCs/>
          <w:lang w:eastAsia="zh-CN"/>
        </w:rPr>
        <w:t xml:space="preserve">: </w:t>
      </w:r>
      <w:r w:rsidR="00046465">
        <w:rPr>
          <w:rFonts w:ascii="Times" w:hAnsi="Times"/>
          <w:b/>
          <w:bCs/>
          <w:lang w:eastAsia="zh-CN"/>
        </w:rPr>
        <w:t>Principal components analysis of diet preferences</w:t>
      </w:r>
      <w:r w:rsidR="00BC5DFB" w:rsidRPr="00BC5DFB">
        <w:rPr>
          <w:rFonts w:ascii="Times" w:hAnsi="Times"/>
          <w:b/>
          <w:bCs/>
          <w:lang w:eastAsia="zh-CN"/>
        </w:rPr>
        <w:t>.</w:t>
      </w:r>
      <w:r w:rsidR="001A712C">
        <w:rPr>
          <w:rFonts w:ascii="Times" w:hAnsi="Times"/>
          <w:b/>
          <w:bCs/>
          <w:lang w:eastAsia="zh-CN"/>
        </w:rPr>
        <w:t xml:space="preserve"> </w:t>
      </w:r>
      <w:r w:rsidR="001A712C">
        <w:rPr>
          <w:rFonts w:ascii="Times" w:hAnsi="Times"/>
          <w:lang w:eastAsia="zh-CN"/>
        </w:rPr>
        <w:t>Principal components analysis</w:t>
      </w:r>
      <w:r w:rsidR="00046465">
        <w:rPr>
          <w:rFonts w:ascii="Times" w:hAnsi="Times"/>
          <w:lang w:eastAsia="zh-CN"/>
        </w:rPr>
        <w:t xml:space="preserve"> of diet preferences presented in </w:t>
      </w:r>
      <w:r w:rsidR="00046465" w:rsidRPr="00046465">
        <w:rPr>
          <w:rFonts w:ascii="Times" w:hAnsi="Times"/>
          <w:b/>
          <w:bCs/>
          <w:lang w:eastAsia="zh-CN"/>
        </w:rPr>
        <w:t>Supplementary Table 1</w:t>
      </w:r>
      <w:r w:rsidR="00046465">
        <w:rPr>
          <w:rFonts w:ascii="Times" w:hAnsi="Times"/>
          <w:lang w:eastAsia="zh-CN"/>
        </w:rPr>
        <w:t xml:space="preserve">. </w:t>
      </w:r>
      <w:r w:rsidR="00046465" w:rsidRPr="00046465">
        <w:rPr>
          <w:rFonts w:ascii="Times" w:hAnsi="Times"/>
          <w:b/>
          <w:bCs/>
          <w:lang w:eastAsia="zh-CN"/>
        </w:rPr>
        <w:t>A</w:t>
      </w:r>
      <w:r w:rsidR="00046465">
        <w:rPr>
          <w:rFonts w:ascii="Times" w:hAnsi="Times"/>
          <w:lang w:eastAsia="zh-CN"/>
        </w:rPr>
        <w:t xml:space="preserve">) Data are shown for the 7 individuals with </w:t>
      </w:r>
      <w:r w:rsidR="000D060F">
        <w:rPr>
          <w:rFonts w:ascii="Times" w:hAnsi="Times"/>
          <w:lang w:eastAsia="zh-CN"/>
        </w:rPr>
        <w:t>10</w:t>
      </w:r>
      <w:r w:rsidR="00046465">
        <w:rPr>
          <w:rFonts w:ascii="Times" w:hAnsi="Times"/>
          <w:lang w:eastAsia="zh-CN"/>
        </w:rPr>
        <w:t xml:space="preserve"> or more dietary assessments across the study period with values </w:t>
      </w:r>
      <w:proofErr w:type="spellStart"/>
      <w:r w:rsidR="00046465">
        <w:rPr>
          <w:rFonts w:ascii="Times" w:hAnsi="Times"/>
          <w:lang w:eastAsia="zh-CN"/>
        </w:rPr>
        <w:t>coloured</w:t>
      </w:r>
      <w:proofErr w:type="spellEnd"/>
      <w:r w:rsidR="00046465">
        <w:rPr>
          <w:rFonts w:ascii="Times" w:hAnsi="Times"/>
          <w:lang w:eastAsia="zh-CN"/>
        </w:rPr>
        <w:t xml:space="preserve"> and grouped by individual. </w:t>
      </w:r>
      <w:r w:rsidR="00046465" w:rsidRPr="00046465">
        <w:rPr>
          <w:rFonts w:ascii="Times" w:hAnsi="Times"/>
          <w:b/>
          <w:bCs/>
          <w:lang w:eastAsia="zh-CN"/>
        </w:rPr>
        <w:t>B</w:t>
      </w:r>
      <w:r w:rsidR="00046465">
        <w:rPr>
          <w:rFonts w:ascii="Times" w:hAnsi="Times"/>
          <w:lang w:eastAsia="zh-CN"/>
        </w:rPr>
        <w:t xml:space="preserve">) Data are shown for all individuals who could be successfully classified into HA, IA and LA groups on the basis of IL-17/IL-22 activity. </w:t>
      </w:r>
    </w:p>
    <w:p w14:paraId="2D186AA7" w14:textId="77777777" w:rsidR="002E53AA" w:rsidRDefault="002E53AA">
      <w:pPr>
        <w:rPr>
          <w:rFonts w:ascii="Times" w:hAnsi="Times"/>
          <w:lang w:eastAsia="zh-CN"/>
        </w:rPr>
      </w:pPr>
      <w:r>
        <w:rPr>
          <w:rFonts w:ascii="Times" w:hAnsi="Times"/>
          <w:lang w:eastAsia="zh-CN"/>
        </w:rPr>
        <w:br w:type="page"/>
      </w:r>
    </w:p>
    <w:p w14:paraId="084772B7" w14:textId="77777777" w:rsidR="002E53AA" w:rsidRDefault="002E53AA" w:rsidP="003E4D12">
      <w:pPr>
        <w:spacing w:line="360" w:lineRule="auto"/>
        <w:rPr>
          <w:rFonts w:ascii="Times" w:hAnsi="Times"/>
          <w:lang w:eastAsia="zh-CN"/>
        </w:rPr>
        <w:sectPr w:rsidR="002E53AA" w:rsidSect="00AB4305">
          <w:pgSz w:w="12240" w:h="15840"/>
          <w:pgMar w:top="1440" w:right="1440" w:bottom="1440" w:left="1440" w:header="1008" w:footer="144" w:gutter="0"/>
          <w:cols w:space="720"/>
          <w:docGrid w:linePitch="360"/>
        </w:sectPr>
      </w:pPr>
    </w:p>
    <w:p w14:paraId="392E6CF9" w14:textId="725999B1" w:rsidR="00046465" w:rsidRDefault="002E53AA" w:rsidP="003E4D12">
      <w:pPr>
        <w:spacing w:line="360" w:lineRule="auto"/>
        <w:rPr>
          <w:rFonts w:ascii="Times" w:hAnsi="Times"/>
          <w:lang w:eastAsia="zh-CN"/>
        </w:rPr>
      </w:pPr>
      <w:r w:rsidRPr="00BC5DFB">
        <w:rPr>
          <w:rFonts w:ascii="Times" w:hAnsi="Times"/>
          <w:b/>
          <w:bCs/>
          <w:lang w:eastAsia="zh-CN"/>
        </w:rPr>
        <w:lastRenderedPageBreak/>
        <w:t xml:space="preserve">Supplementary </w:t>
      </w:r>
      <w:r w:rsidR="00FA608E">
        <w:rPr>
          <w:rFonts w:ascii="Times" w:hAnsi="Times"/>
          <w:b/>
          <w:bCs/>
          <w:lang w:eastAsia="zh-CN"/>
        </w:rPr>
        <w:t>Table</w:t>
      </w:r>
      <w:r w:rsidRPr="00BC5DFB">
        <w:rPr>
          <w:rFonts w:ascii="Times" w:hAnsi="Times"/>
          <w:b/>
          <w:bCs/>
          <w:lang w:eastAsia="zh-CN"/>
        </w:rPr>
        <w:t xml:space="preserve"> </w:t>
      </w:r>
      <w:r>
        <w:rPr>
          <w:rFonts w:ascii="Times" w:hAnsi="Times"/>
          <w:b/>
          <w:bCs/>
          <w:lang w:eastAsia="zh-CN"/>
        </w:rPr>
        <w:t>2:</w:t>
      </w:r>
      <w:r>
        <w:rPr>
          <w:rFonts w:ascii="Times" w:hAnsi="Times"/>
          <w:lang w:eastAsia="zh-CN"/>
        </w:rPr>
        <w:t xml:space="preserve"> Characteristics for </w:t>
      </w:r>
      <w:r w:rsidRPr="00FA608E">
        <w:rPr>
          <w:rFonts w:ascii="Times" w:hAnsi="Times"/>
          <w:b/>
          <w:bCs/>
          <w:lang w:eastAsia="zh-CN"/>
        </w:rPr>
        <w:t>A</w:t>
      </w:r>
      <w:r>
        <w:rPr>
          <w:rFonts w:ascii="Times" w:hAnsi="Times"/>
          <w:lang w:eastAsia="zh-CN"/>
        </w:rPr>
        <w:t xml:space="preserve">) the cohort of 60 </w:t>
      </w:r>
      <w:proofErr w:type="spellStart"/>
      <w:r>
        <w:rPr>
          <w:rFonts w:ascii="Times" w:hAnsi="Times"/>
          <w:lang w:eastAsia="zh-CN"/>
        </w:rPr>
        <w:t>iHMP</w:t>
      </w:r>
      <w:proofErr w:type="spellEnd"/>
      <w:r>
        <w:rPr>
          <w:rFonts w:ascii="Times" w:hAnsi="Times"/>
          <w:lang w:eastAsia="zh-CN"/>
        </w:rPr>
        <w:t xml:space="preserve"> study participants with </w:t>
      </w:r>
      <w:r w:rsidR="00FA608E" w:rsidRPr="00FA608E">
        <w:rPr>
          <w:rFonts w:ascii="Times" w:hAnsi="Times"/>
          <w:sz w:val="22"/>
          <w:szCs w:val="22"/>
          <w:lang w:eastAsia="zh-CN"/>
        </w:rPr>
        <w:sym w:font="Symbol" w:char="F0B3"/>
      </w:r>
      <w:r w:rsidR="00FA608E">
        <w:rPr>
          <w:rFonts w:ascii="Times" w:hAnsi="Times"/>
          <w:lang w:eastAsia="zh-CN"/>
        </w:rPr>
        <w:t>5</w:t>
      </w:r>
      <w:r>
        <w:rPr>
          <w:rFonts w:ascii="Times" w:hAnsi="Times"/>
          <w:lang w:eastAsia="zh-CN"/>
        </w:rPr>
        <w:t xml:space="preserve"> cytokine </w:t>
      </w:r>
      <w:r w:rsidR="00FA608E">
        <w:rPr>
          <w:rFonts w:ascii="Times" w:hAnsi="Times"/>
          <w:lang w:eastAsia="zh-CN"/>
        </w:rPr>
        <w:t>measurements who could be confidently classified as HA/IA/LA</w:t>
      </w:r>
      <w:r>
        <w:rPr>
          <w:rFonts w:ascii="Times" w:hAnsi="Times"/>
          <w:lang w:eastAsia="zh-CN"/>
        </w:rPr>
        <w:t xml:space="preserve">, and </w:t>
      </w:r>
      <w:r w:rsidRPr="00FA608E">
        <w:rPr>
          <w:rFonts w:ascii="Times" w:hAnsi="Times"/>
          <w:b/>
          <w:bCs/>
          <w:lang w:eastAsia="zh-CN"/>
        </w:rPr>
        <w:t>B</w:t>
      </w:r>
      <w:r>
        <w:rPr>
          <w:rFonts w:ascii="Times" w:hAnsi="Times"/>
          <w:lang w:eastAsia="zh-CN"/>
        </w:rPr>
        <w:t xml:space="preserve">) the 40 participants within this cohort </w:t>
      </w:r>
      <w:r w:rsidR="00FA608E">
        <w:rPr>
          <w:rFonts w:ascii="Times" w:hAnsi="Times"/>
          <w:lang w:eastAsia="zh-CN"/>
        </w:rPr>
        <w:t xml:space="preserve">who also had </w:t>
      </w:r>
      <w:r>
        <w:rPr>
          <w:rFonts w:ascii="Times" w:hAnsi="Times"/>
          <w:lang w:eastAsia="zh-CN"/>
        </w:rPr>
        <w:t>SSPG measurements</w:t>
      </w:r>
      <w:r w:rsidR="00FA608E">
        <w:rPr>
          <w:rFonts w:ascii="Times" w:hAnsi="Times"/>
          <w:lang w:eastAsia="zh-CN"/>
        </w:rPr>
        <w:t>.</w:t>
      </w:r>
    </w:p>
    <w:p w14:paraId="7D7996CF" w14:textId="18F5E9BA" w:rsidR="00FA608E" w:rsidRPr="002E53AA" w:rsidRDefault="00FA608E" w:rsidP="00FA608E">
      <w:pPr>
        <w:spacing w:line="360" w:lineRule="auto"/>
        <w:jc w:val="center"/>
        <w:rPr>
          <w:rFonts w:ascii="Times" w:hAnsi="Times"/>
          <w:lang w:eastAsia="zh-CN"/>
        </w:rPr>
      </w:pPr>
      <w:r w:rsidRPr="00FA608E">
        <w:rPr>
          <w:rFonts w:ascii="Times" w:hAnsi="Times"/>
          <w:lang w:eastAsia="zh-CN"/>
        </w:rPr>
        <w:drawing>
          <wp:inline distT="0" distB="0" distL="0" distR="0" wp14:anchorId="2D1439C5" wp14:editId="70435DD8">
            <wp:extent cx="8924672" cy="5135129"/>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952792" cy="5151309"/>
                    </a:xfrm>
                    <a:prstGeom prst="rect">
                      <a:avLst/>
                    </a:prstGeom>
                  </pic:spPr>
                </pic:pic>
              </a:graphicData>
            </a:graphic>
          </wp:inline>
        </w:drawing>
      </w:r>
    </w:p>
    <w:sectPr w:rsidR="00FA608E" w:rsidRPr="002E53AA" w:rsidSect="002E53AA">
      <w:pgSz w:w="15840" w:h="12240" w:orient="landscape"/>
      <w:pgMar w:top="1440" w:right="1440" w:bottom="1440" w:left="1440" w:header="1008"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4A6EE0" w14:textId="77777777" w:rsidR="00DA7ADF" w:rsidRDefault="00DA7ADF" w:rsidP="009A6EC2">
      <w:r>
        <w:separator/>
      </w:r>
    </w:p>
  </w:endnote>
  <w:endnote w:type="continuationSeparator" w:id="0">
    <w:p w14:paraId="70165F37" w14:textId="77777777" w:rsidR="00DA7ADF" w:rsidRDefault="00DA7ADF" w:rsidP="009A6E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066B29" w14:textId="77777777" w:rsidR="00DA7ADF" w:rsidRDefault="00DA7ADF" w:rsidP="009A6EC2">
      <w:r>
        <w:separator/>
      </w:r>
    </w:p>
  </w:footnote>
  <w:footnote w:type="continuationSeparator" w:id="0">
    <w:p w14:paraId="2C496900" w14:textId="77777777" w:rsidR="00DA7ADF" w:rsidRDefault="00DA7ADF" w:rsidP="009A6EC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8"/>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3D23"/>
    <w:rsid w:val="000027E3"/>
    <w:rsid w:val="00003B3B"/>
    <w:rsid w:val="000045AB"/>
    <w:rsid w:val="0000499D"/>
    <w:rsid w:val="00043376"/>
    <w:rsid w:val="00046465"/>
    <w:rsid w:val="00047FA0"/>
    <w:rsid w:val="00056C7B"/>
    <w:rsid w:val="00074C36"/>
    <w:rsid w:val="00092866"/>
    <w:rsid w:val="000A3E9C"/>
    <w:rsid w:val="000C5F41"/>
    <w:rsid w:val="000D060F"/>
    <w:rsid w:val="000D4F8F"/>
    <w:rsid w:val="000D580E"/>
    <w:rsid w:val="000E2E36"/>
    <w:rsid w:val="000E3C78"/>
    <w:rsid w:val="000F6909"/>
    <w:rsid w:val="000F6ADD"/>
    <w:rsid w:val="00102DF3"/>
    <w:rsid w:val="00105AC1"/>
    <w:rsid w:val="00107561"/>
    <w:rsid w:val="00112A9D"/>
    <w:rsid w:val="0011338C"/>
    <w:rsid w:val="001212BE"/>
    <w:rsid w:val="00122EAA"/>
    <w:rsid w:val="00124F37"/>
    <w:rsid w:val="00125563"/>
    <w:rsid w:val="001369B1"/>
    <w:rsid w:val="00137231"/>
    <w:rsid w:val="00137B23"/>
    <w:rsid w:val="0014394B"/>
    <w:rsid w:val="00143D23"/>
    <w:rsid w:val="001551FF"/>
    <w:rsid w:val="00167421"/>
    <w:rsid w:val="00176C64"/>
    <w:rsid w:val="00180882"/>
    <w:rsid w:val="00195BA0"/>
    <w:rsid w:val="00196BBD"/>
    <w:rsid w:val="001A712C"/>
    <w:rsid w:val="001B1304"/>
    <w:rsid w:val="001B1A7B"/>
    <w:rsid w:val="001D13D5"/>
    <w:rsid w:val="001E6E6D"/>
    <w:rsid w:val="001F6385"/>
    <w:rsid w:val="00204953"/>
    <w:rsid w:val="00206336"/>
    <w:rsid w:val="00210CAA"/>
    <w:rsid w:val="0022629B"/>
    <w:rsid w:val="00234DDF"/>
    <w:rsid w:val="0024623C"/>
    <w:rsid w:val="00246A6F"/>
    <w:rsid w:val="00254D4A"/>
    <w:rsid w:val="00255333"/>
    <w:rsid w:val="00256DF7"/>
    <w:rsid w:val="00264C3F"/>
    <w:rsid w:val="0028484D"/>
    <w:rsid w:val="00286433"/>
    <w:rsid w:val="00294A36"/>
    <w:rsid w:val="002A11FF"/>
    <w:rsid w:val="002B0B17"/>
    <w:rsid w:val="002B23ED"/>
    <w:rsid w:val="002B2627"/>
    <w:rsid w:val="002B4096"/>
    <w:rsid w:val="002B68D4"/>
    <w:rsid w:val="002C0315"/>
    <w:rsid w:val="002C3589"/>
    <w:rsid w:val="002C4B92"/>
    <w:rsid w:val="002D6E42"/>
    <w:rsid w:val="002E53AA"/>
    <w:rsid w:val="002F0953"/>
    <w:rsid w:val="00312D5B"/>
    <w:rsid w:val="003150B0"/>
    <w:rsid w:val="00336BBD"/>
    <w:rsid w:val="00373CA9"/>
    <w:rsid w:val="0037412E"/>
    <w:rsid w:val="0037700A"/>
    <w:rsid w:val="00387A77"/>
    <w:rsid w:val="00390DB1"/>
    <w:rsid w:val="003A09D2"/>
    <w:rsid w:val="003A70D7"/>
    <w:rsid w:val="003B0980"/>
    <w:rsid w:val="003B5C1B"/>
    <w:rsid w:val="003B69AF"/>
    <w:rsid w:val="003C7854"/>
    <w:rsid w:val="003D7868"/>
    <w:rsid w:val="003E4D12"/>
    <w:rsid w:val="003E50DA"/>
    <w:rsid w:val="003E7FBB"/>
    <w:rsid w:val="003F24EE"/>
    <w:rsid w:val="003F5A82"/>
    <w:rsid w:val="00402199"/>
    <w:rsid w:val="00403D34"/>
    <w:rsid w:val="004133D7"/>
    <w:rsid w:val="004158DA"/>
    <w:rsid w:val="0042519A"/>
    <w:rsid w:val="004267FA"/>
    <w:rsid w:val="00433EC3"/>
    <w:rsid w:val="00435BFE"/>
    <w:rsid w:val="00442FCC"/>
    <w:rsid w:val="004500BC"/>
    <w:rsid w:val="0045455C"/>
    <w:rsid w:val="00464341"/>
    <w:rsid w:val="00464643"/>
    <w:rsid w:val="00464795"/>
    <w:rsid w:val="004A72FB"/>
    <w:rsid w:val="004A74D3"/>
    <w:rsid w:val="004B1EB4"/>
    <w:rsid w:val="004B6A6E"/>
    <w:rsid w:val="004B79C9"/>
    <w:rsid w:val="004C66EE"/>
    <w:rsid w:val="004D5EAB"/>
    <w:rsid w:val="004E117C"/>
    <w:rsid w:val="004E45A3"/>
    <w:rsid w:val="004F3628"/>
    <w:rsid w:val="00505CFC"/>
    <w:rsid w:val="00507218"/>
    <w:rsid w:val="005149C1"/>
    <w:rsid w:val="0055083A"/>
    <w:rsid w:val="00551B6B"/>
    <w:rsid w:val="00553694"/>
    <w:rsid w:val="005549C3"/>
    <w:rsid w:val="0055575D"/>
    <w:rsid w:val="00566046"/>
    <w:rsid w:val="00567DF1"/>
    <w:rsid w:val="0057030E"/>
    <w:rsid w:val="005772BF"/>
    <w:rsid w:val="0057752B"/>
    <w:rsid w:val="00590B51"/>
    <w:rsid w:val="00591DF6"/>
    <w:rsid w:val="005972CE"/>
    <w:rsid w:val="005A2369"/>
    <w:rsid w:val="005A2954"/>
    <w:rsid w:val="005A566A"/>
    <w:rsid w:val="005C6D77"/>
    <w:rsid w:val="005D2807"/>
    <w:rsid w:val="005D3C40"/>
    <w:rsid w:val="005D7FE1"/>
    <w:rsid w:val="005E6C04"/>
    <w:rsid w:val="005E6E19"/>
    <w:rsid w:val="005F1E15"/>
    <w:rsid w:val="005F289F"/>
    <w:rsid w:val="00632F36"/>
    <w:rsid w:val="0066189D"/>
    <w:rsid w:val="0066734C"/>
    <w:rsid w:val="00693934"/>
    <w:rsid w:val="00695942"/>
    <w:rsid w:val="006A4D43"/>
    <w:rsid w:val="006D6CDE"/>
    <w:rsid w:val="006E1A5A"/>
    <w:rsid w:val="006E480B"/>
    <w:rsid w:val="006E7732"/>
    <w:rsid w:val="006F2E06"/>
    <w:rsid w:val="0070675B"/>
    <w:rsid w:val="00710E5C"/>
    <w:rsid w:val="00711FD8"/>
    <w:rsid w:val="00714063"/>
    <w:rsid w:val="00726B26"/>
    <w:rsid w:val="00732484"/>
    <w:rsid w:val="00744CB4"/>
    <w:rsid w:val="007603F0"/>
    <w:rsid w:val="00761F4B"/>
    <w:rsid w:val="00762081"/>
    <w:rsid w:val="00762602"/>
    <w:rsid w:val="00764835"/>
    <w:rsid w:val="00771027"/>
    <w:rsid w:val="00781248"/>
    <w:rsid w:val="007835BE"/>
    <w:rsid w:val="00784A3D"/>
    <w:rsid w:val="00793624"/>
    <w:rsid w:val="007A31D1"/>
    <w:rsid w:val="007B0D86"/>
    <w:rsid w:val="007B61B8"/>
    <w:rsid w:val="007C055A"/>
    <w:rsid w:val="007C27CB"/>
    <w:rsid w:val="007C733B"/>
    <w:rsid w:val="007D453B"/>
    <w:rsid w:val="007E468A"/>
    <w:rsid w:val="007E4695"/>
    <w:rsid w:val="007F732C"/>
    <w:rsid w:val="00806D01"/>
    <w:rsid w:val="00810A52"/>
    <w:rsid w:val="0082665C"/>
    <w:rsid w:val="00837BCC"/>
    <w:rsid w:val="0084549B"/>
    <w:rsid w:val="00845728"/>
    <w:rsid w:val="00850EEF"/>
    <w:rsid w:val="00856318"/>
    <w:rsid w:val="00862667"/>
    <w:rsid w:val="00862B0E"/>
    <w:rsid w:val="008816FA"/>
    <w:rsid w:val="008830A0"/>
    <w:rsid w:val="00883ABA"/>
    <w:rsid w:val="0088754F"/>
    <w:rsid w:val="008A0120"/>
    <w:rsid w:val="008A668D"/>
    <w:rsid w:val="008B05EB"/>
    <w:rsid w:val="008B7A0B"/>
    <w:rsid w:val="008B7DCE"/>
    <w:rsid w:val="008C3D23"/>
    <w:rsid w:val="008C5683"/>
    <w:rsid w:val="008C5F07"/>
    <w:rsid w:val="008E74DC"/>
    <w:rsid w:val="008F4CAE"/>
    <w:rsid w:val="008F7C55"/>
    <w:rsid w:val="00902EA6"/>
    <w:rsid w:val="00904191"/>
    <w:rsid w:val="00916003"/>
    <w:rsid w:val="009165F3"/>
    <w:rsid w:val="00917DBC"/>
    <w:rsid w:val="00946650"/>
    <w:rsid w:val="00946A07"/>
    <w:rsid w:val="0095081A"/>
    <w:rsid w:val="009544F4"/>
    <w:rsid w:val="00956972"/>
    <w:rsid w:val="00956B3D"/>
    <w:rsid w:val="00963221"/>
    <w:rsid w:val="009646F7"/>
    <w:rsid w:val="00966523"/>
    <w:rsid w:val="00980A53"/>
    <w:rsid w:val="00982DF9"/>
    <w:rsid w:val="00993CDB"/>
    <w:rsid w:val="009A2311"/>
    <w:rsid w:val="009A3AA1"/>
    <w:rsid w:val="009A68B0"/>
    <w:rsid w:val="009A6EC2"/>
    <w:rsid w:val="009C2469"/>
    <w:rsid w:val="009C2A4D"/>
    <w:rsid w:val="009D2DCF"/>
    <w:rsid w:val="009D3C31"/>
    <w:rsid w:val="009E4F30"/>
    <w:rsid w:val="009F02CF"/>
    <w:rsid w:val="009F17AC"/>
    <w:rsid w:val="00A01BF1"/>
    <w:rsid w:val="00A066B2"/>
    <w:rsid w:val="00A07FD1"/>
    <w:rsid w:val="00A11F61"/>
    <w:rsid w:val="00A15012"/>
    <w:rsid w:val="00A1517B"/>
    <w:rsid w:val="00A153EE"/>
    <w:rsid w:val="00A3100B"/>
    <w:rsid w:val="00A422DC"/>
    <w:rsid w:val="00A43D4C"/>
    <w:rsid w:val="00A51706"/>
    <w:rsid w:val="00A52037"/>
    <w:rsid w:val="00A57734"/>
    <w:rsid w:val="00A67FD7"/>
    <w:rsid w:val="00A83AE6"/>
    <w:rsid w:val="00A858CE"/>
    <w:rsid w:val="00A9434D"/>
    <w:rsid w:val="00A95853"/>
    <w:rsid w:val="00AA69C5"/>
    <w:rsid w:val="00AB1F58"/>
    <w:rsid w:val="00AB4305"/>
    <w:rsid w:val="00AC6873"/>
    <w:rsid w:val="00AD3D92"/>
    <w:rsid w:val="00AD6A2E"/>
    <w:rsid w:val="00AE17C0"/>
    <w:rsid w:val="00AF598F"/>
    <w:rsid w:val="00B044E0"/>
    <w:rsid w:val="00B241A1"/>
    <w:rsid w:val="00B333DB"/>
    <w:rsid w:val="00B40143"/>
    <w:rsid w:val="00B562AA"/>
    <w:rsid w:val="00B62DC8"/>
    <w:rsid w:val="00B665DC"/>
    <w:rsid w:val="00B714CD"/>
    <w:rsid w:val="00B71D25"/>
    <w:rsid w:val="00B73688"/>
    <w:rsid w:val="00BB6E31"/>
    <w:rsid w:val="00BC5DFB"/>
    <w:rsid w:val="00BC69AD"/>
    <w:rsid w:val="00BD4268"/>
    <w:rsid w:val="00BD6AAF"/>
    <w:rsid w:val="00BE18FC"/>
    <w:rsid w:val="00C159AF"/>
    <w:rsid w:val="00C20225"/>
    <w:rsid w:val="00C261F2"/>
    <w:rsid w:val="00C268CC"/>
    <w:rsid w:val="00C439FE"/>
    <w:rsid w:val="00C530E4"/>
    <w:rsid w:val="00C611F9"/>
    <w:rsid w:val="00C66951"/>
    <w:rsid w:val="00C7278A"/>
    <w:rsid w:val="00C8138E"/>
    <w:rsid w:val="00C858DC"/>
    <w:rsid w:val="00C86DF1"/>
    <w:rsid w:val="00C900EF"/>
    <w:rsid w:val="00C9321F"/>
    <w:rsid w:val="00C97B13"/>
    <w:rsid w:val="00CA45B7"/>
    <w:rsid w:val="00CA536E"/>
    <w:rsid w:val="00CC292C"/>
    <w:rsid w:val="00CC381E"/>
    <w:rsid w:val="00CC77F9"/>
    <w:rsid w:val="00CD068A"/>
    <w:rsid w:val="00CD3CFE"/>
    <w:rsid w:val="00CE342E"/>
    <w:rsid w:val="00CF1CBD"/>
    <w:rsid w:val="00D04A3D"/>
    <w:rsid w:val="00D067E5"/>
    <w:rsid w:val="00D12487"/>
    <w:rsid w:val="00D14A3B"/>
    <w:rsid w:val="00D15D66"/>
    <w:rsid w:val="00D2052C"/>
    <w:rsid w:val="00D34A70"/>
    <w:rsid w:val="00D420CF"/>
    <w:rsid w:val="00D5021E"/>
    <w:rsid w:val="00D56A25"/>
    <w:rsid w:val="00D5797C"/>
    <w:rsid w:val="00D6241E"/>
    <w:rsid w:val="00D840F8"/>
    <w:rsid w:val="00D966C1"/>
    <w:rsid w:val="00DA7ADF"/>
    <w:rsid w:val="00DB78C4"/>
    <w:rsid w:val="00DC3703"/>
    <w:rsid w:val="00DC4984"/>
    <w:rsid w:val="00DD02EB"/>
    <w:rsid w:val="00DD329D"/>
    <w:rsid w:val="00DD692D"/>
    <w:rsid w:val="00DF2594"/>
    <w:rsid w:val="00DF77D9"/>
    <w:rsid w:val="00E01BCB"/>
    <w:rsid w:val="00E0710B"/>
    <w:rsid w:val="00E15E2D"/>
    <w:rsid w:val="00E17BDF"/>
    <w:rsid w:val="00E2567A"/>
    <w:rsid w:val="00E27372"/>
    <w:rsid w:val="00E31471"/>
    <w:rsid w:val="00E349D9"/>
    <w:rsid w:val="00E36436"/>
    <w:rsid w:val="00E37ADF"/>
    <w:rsid w:val="00E4032C"/>
    <w:rsid w:val="00E550D7"/>
    <w:rsid w:val="00E6486B"/>
    <w:rsid w:val="00E72666"/>
    <w:rsid w:val="00E72BF2"/>
    <w:rsid w:val="00E95696"/>
    <w:rsid w:val="00EA3B07"/>
    <w:rsid w:val="00EA5E87"/>
    <w:rsid w:val="00EC63D3"/>
    <w:rsid w:val="00EC6AC6"/>
    <w:rsid w:val="00ED5D29"/>
    <w:rsid w:val="00EF36BF"/>
    <w:rsid w:val="00F011A2"/>
    <w:rsid w:val="00F10324"/>
    <w:rsid w:val="00F11BA9"/>
    <w:rsid w:val="00F13FBC"/>
    <w:rsid w:val="00F2251E"/>
    <w:rsid w:val="00F2778D"/>
    <w:rsid w:val="00F334CA"/>
    <w:rsid w:val="00F43FF5"/>
    <w:rsid w:val="00F5635D"/>
    <w:rsid w:val="00F72511"/>
    <w:rsid w:val="00F72BC2"/>
    <w:rsid w:val="00F73E17"/>
    <w:rsid w:val="00F817A3"/>
    <w:rsid w:val="00F850E2"/>
    <w:rsid w:val="00F91091"/>
    <w:rsid w:val="00FA42E0"/>
    <w:rsid w:val="00FA608E"/>
    <w:rsid w:val="00FB5712"/>
    <w:rsid w:val="00FE06AD"/>
    <w:rsid w:val="00FF1125"/>
    <w:rsid w:val="00FF1E83"/>
    <w:rsid w:val="00FF2838"/>
    <w:rsid w:val="00FF3DF6"/>
    <w:rsid w:val="00FF69D6"/>
    <w:rsid w:val="00FF6A32"/>
    <w:rsid w:val="00FF79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21D167"/>
  <w15:docId w15:val="{9AF4793E-A1DB-6D49-A99A-F0D85ED6A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A6EC2"/>
    <w:pPr>
      <w:tabs>
        <w:tab w:val="center" w:pos="4680"/>
        <w:tab w:val="right" w:pos="9360"/>
      </w:tabs>
    </w:pPr>
  </w:style>
  <w:style w:type="character" w:customStyle="1" w:styleId="HeaderChar">
    <w:name w:val="Header Char"/>
    <w:basedOn w:val="DefaultParagraphFont"/>
    <w:link w:val="Header"/>
    <w:uiPriority w:val="99"/>
    <w:rsid w:val="009A6EC2"/>
  </w:style>
  <w:style w:type="paragraph" w:styleId="Footer">
    <w:name w:val="footer"/>
    <w:basedOn w:val="Normal"/>
    <w:link w:val="FooterChar"/>
    <w:uiPriority w:val="99"/>
    <w:unhideWhenUsed/>
    <w:rsid w:val="009A6EC2"/>
    <w:pPr>
      <w:tabs>
        <w:tab w:val="center" w:pos="4680"/>
        <w:tab w:val="right" w:pos="9360"/>
      </w:tabs>
    </w:pPr>
  </w:style>
  <w:style w:type="character" w:customStyle="1" w:styleId="FooterChar">
    <w:name w:val="Footer Char"/>
    <w:basedOn w:val="DefaultParagraphFont"/>
    <w:link w:val="Footer"/>
    <w:uiPriority w:val="99"/>
    <w:rsid w:val="009A6EC2"/>
  </w:style>
  <w:style w:type="character" w:styleId="CommentReference">
    <w:name w:val="annotation reference"/>
    <w:basedOn w:val="DefaultParagraphFont"/>
    <w:uiPriority w:val="99"/>
    <w:semiHidden/>
    <w:unhideWhenUsed/>
    <w:rsid w:val="00781248"/>
    <w:rPr>
      <w:sz w:val="16"/>
      <w:szCs w:val="16"/>
    </w:rPr>
  </w:style>
  <w:style w:type="paragraph" w:styleId="CommentText">
    <w:name w:val="annotation text"/>
    <w:basedOn w:val="Normal"/>
    <w:link w:val="CommentTextChar"/>
    <w:uiPriority w:val="99"/>
    <w:semiHidden/>
    <w:unhideWhenUsed/>
    <w:rsid w:val="00781248"/>
    <w:rPr>
      <w:sz w:val="20"/>
      <w:szCs w:val="20"/>
    </w:rPr>
  </w:style>
  <w:style w:type="character" w:customStyle="1" w:styleId="CommentTextChar">
    <w:name w:val="Comment Text Char"/>
    <w:basedOn w:val="DefaultParagraphFont"/>
    <w:link w:val="CommentText"/>
    <w:uiPriority w:val="99"/>
    <w:semiHidden/>
    <w:rsid w:val="00781248"/>
    <w:rPr>
      <w:sz w:val="20"/>
      <w:szCs w:val="20"/>
    </w:rPr>
  </w:style>
  <w:style w:type="paragraph" w:styleId="CommentSubject">
    <w:name w:val="annotation subject"/>
    <w:basedOn w:val="CommentText"/>
    <w:next w:val="CommentText"/>
    <w:link w:val="CommentSubjectChar"/>
    <w:uiPriority w:val="99"/>
    <w:semiHidden/>
    <w:unhideWhenUsed/>
    <w:rsid w:val="00781248"/>
    <w:rPr>
      <w:b/>
      <w:bCs/>
    </w:rPr>
  </w:style>
  <w:style w:type="character" w:customStyle="1" w:styleId="CommentSubjectChar">
    <w:name w:val="Comment Subject Char"/>
    <w:basedOn w:val="CommentTextChar"/>
    <w:link w:val="CommentSubject"/>
    <w:uiPriority w:val="99"/>
    <w:semiHidden/>
    <w:rsid w:val="00781248"/>
    <w:rPr>
      <w:b/>
      <w:bCs/>
      <w:sz w:val="20"/>
      <w:szCs w:val="20"/>
    </w:rPr>
  </w:style>
  <w:style w:type="paragraph" w:styleId="BalloonText">
    <w:name w:val="Balloon Text"/>
    <w:basedOn w:val="Normal"/>
    <w:link w:val="BalloonTextChar"/>
    <w:uiPriority w:val="99"/>
    <w:semiHidden/>
    <w:unhideWhenUsed/>
    <w:rsid w:val="0078124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81248"/>
    <w:rPr>
      <w:rFonts w:ascii="Times New Roman" w:hAnsi="Times New Roman" w:cs="Times New Roman"/>
      <w:sz w:val="18"/>
      <w:szCs w:val="18"/>
    </w:rPr>
  </w:style>
  <w:style w:type="paragraph" w:styleId="NormalWeb">
    <w:name w:val="Normal (Web)"/>
    <w:basedOn w:val="Normal"/>
    <w:uiPriority w:val="99"/>
    <w:unhideWhenUsed/>
    <w:rsid w:val="00771027"/>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965892">
      <w:bodyDiv w:val="1"/>
      <w:marLeft w:val="0"/>
      <w:marRight w:val="0"/>
      <w:marTop w:val="0"/>
      <w:marBottom w:val="0"/>
      <w:divBdr>
        <w:top w:val="none" w:sz="0" w:space="0" w:color="auto"/>
        <w:left w:val="none" w:sz="0" w:space="0" w:color="auto"/>
        <w:bottom w:val="none" w:sz="0" w:space="0" w:color="auto"/>
        <w:right w:val="none" w:sz="0" w:space="0" w:color="auto"/>
      </w:divBdr>
      <w:divsChild>
        <w:div w:id="1804469598">
          <w:marLeft w:val="0"/>
          <w:marRight w:val="0"/>
          <w:marTop w:val="0"/>
          <w:marBottom w:val="0"/>
          <w:divBdr>
            <w:top w:val="none" w:sz="0" w:space="0" w:color="auto"/>
            <w:left w:val="none" w:sz="0" w:space="0" w:color="auto"/>
            <w:bottom w:val="none" w:sz="0" w:space="0" w:color="auto"/>
            <w:right w:val="none" w:sz="0" w:space="0" w:color="auto"/>
          </w:divBdr>
          <w:divsChild>
            <w:div w:id="579481419">
              <w:marLeft w:val="0"/>
              <w:marRight w:val="0"/>
              <w:marTop w:val="0"/>
              <w:marBottom w:val="0"/>
              <w:divBdr>
                <w:top w:val="none" w:sz="0" w:space="0" w:color="auto"/>
                <w:left w:val="none" w:sz="0" w:space="0" w:color="auto"/>
                <w:bottom w:val="none" w:sz="0" w:space="0" w:color="auto"/>
                <w:right w:val="none" w:sz="0" w:space="0" w:color="auto"/>
              </w:divBdr>
              <w:divsChild>
                <w:div w:id="391004816">
                  <w:marLeft w:val="0"/>
                  <w:marRight w:val="0"/>
                  <w:marTop w:val="0"/>
                  <w:marBottom w:val="0"/>
                  <w:divBdr>
                    <w:top w:val="none" w:sz="0" w:space="0" w:color="auto"/>
                    <w:left w:val="none" w:sz="0" w:space="0" w:color="auto"/>
                    <w:bottom w:val="none" w:sz="0" w:space="0" w:color="auto"/>
                    <w:right w:val="none" w:sz="0" w:space="0" w:color="auto"/>
                  </w:divBdr>
                  <w:divsChild>
                    <w:div w:id="6195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7443278">
      <w:bodyDiv w:val="1"/>
      <w:marLeft w:val="0"/>
      <w:marRight w:val="0"/>
      <w:marTop w:val="0"/>
      <w:marBottom w:val="0"/>
      <w:divBdr>
        <w:top w:val="none" w:sz="0" w:space="0" w:color="auto"/>
        <w:left w:val="none" w:sz="0" w:space="0" w:color="auto"/>
        <w:bottom w:val="none" w:sz="0" w:space="0" w:color="auto"/>
        <w:right w:val="none" w:sz="0" w:space="0" w:color="auto"/>
      </w:divBdr>
      <w:divsChild>
        <w:div w:id="426539744">
          <w:marLeft w:val="0"/>
          <w:marRight w:val="0"/>
          <w:marTop w:val="0"/>
          <w:marBottom w:val="0"/>
          <w:divBdr>
            <w:top w:val="none" w:sz="0" w:space="0" w:color="auto"/>
            <w:left w:val="none" w:sz="0" w:space="0" w:color="auto"/>
            <w:bottom w:val="none" w:sz="0" w:space="0" w:color="auto"/>
            <w:right w:val="none" w:sz="0" w:space="0" w:color="auto"/>
          </w:divBdr>
          <w:divsChild>
            <w:div w:id="1618222426">
              <w:marLeft w:val="0"/>
              <w:marRight w:val="0"/>
              <w:marTop w:val="0"/>
              <w:marBottom w:val="0"/>
              <w:divBdr>
                <w:top w:val="none" w:sz="0" w:space="0" w:color="auto"/>
                <w:left w:val="none" w:sz="0" w:space="0" w:color="auto"/>
                <w:bottom w:val="none" w:sz="0" w:space="0" w:color="auto"/>
                <w:right w:val="none" w:sz="0" w:space="0" w:color="auto"/>
              </w:divBdr>
              <w:divsChild>
                <w:div w:id="27804305">
                  <w:marLeft w:val="0"/>
                  <w:marRight w:val="0"/>
                  <w:marTop w:val="0"/>
                  <w:marBottom w:val="0"/>
                  <w:divBdr>
                    <w:top w:val="none" w:sz="0" w:space="0" w:color="auto"/>
                    <w:left w:val="none" w:sz="0" w:space="0" w:color="auto"/>
                    <w:bottom w:val="none" w:sz="0" w:space="0" w:color="auto"/>
                    <w:right w:val="none" w:sz="0" w:space="0" w:color="auto"/>
                  </w:divBdr>
                  <w:divsChild>
                    <w:div w:id="157485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404293">
      <w:bodyDiv w:val="1"/>
      <w:marLeft w:val="0"/>
      <w:marRight w:val="0"/>
      <w:marTop w:val="0"/>
      <w:marBottom w:val="0"/>
      <w:divBdr>
        <w:top w:val="none" w:sz="0" w:space="0" w:color="auto"/>
        <w:left w:val="none" w:sz="0" w:space="0" w:color="auto"/>
        <w:bottom w:val="none" w:sz="0" w:space="0" w:color="auto"/>
        <w:right w:val="none" w:sz="0" w:space="0" w:color="auto"/>
      </w:divBdr>
      <w:divsChild>
        <w:div w:id="1843859668">
          <w:marLeft w:val="0"/>
          <w:marRight w:val="0"/>
          <w:marTop w:val="0"/>
          <w:marBottom w:val="0"/>
          <w:divBdr>
            <w:top w:val="none" w:sz="0" w:space="0" w:color="auto"/>
            <w:left w:val="none" w:sz="0" w:space="0" w:color="auto"/>
            <w:bottom w:val="none" w:sz="0" w:space="0" w:color="auto"/>
            <w:right w:val="none" w:sz="0" w:space="0" w:color="auto"/>
          </w:divBdr>
          <w:divsChild>
            <w:div w:id="1380209549">
              <w:marLeft w:val="0"/>
              <w:marRight w:val="0"/>
              <w:marTop w:val="0"/>
              <w:marBottom w:val="0"/>
              <w:divBdr>
                <w:top w:val="none" w:sz="0" w:space="0" w:color="auto"/>
                <w:left w:val="none" w:sz="0" w:space="0" w:color="auto"/>
                <w:bottom w:val="none" w:sz="0" w:space="0" w:color="auto"/>
                <w:right w:val="none" w:sz="0" w:space="0" w:color="auto"/>
              </w:divBdr>
              <w:divsChild>
                <w:div w:id="1010107297">
                  <w:marLeft w:val="0"/>
                  <w:marRight w:val="0"/>
                  <w:marTop w:val="0"/>
                  <w:marBottom w:val="0"/>
                  <w:divBdr>
                    <w:top w:val="none" w:sz="0" w:space="0" w:color="auto"/>
                    <w:left w:val="none" w:sz="0" w:space="0" w:color="auto"/>
                    <w:bottom w:val="none" w:sz="0" w:space="0" w:color="auto"/>
                    <w:right w:val="none" w:sz="0" w:space="0" w:color="auto"/>
                  </w:divBdr>
                  <w:divsChild>
                    <w:div w:id="212654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555386">
      <w:bodyDiv w:val="1"/>
      <w:marLeft w:val="0"/>
      <w:marRight w:val="0"/>
      <w:marTop w:val="0"/>
      <w:marBottom w:val="0"/>
      <w:divBdr>
        <w:top w:val="none" w:sz="0" w:space="0" w:color="auto"/>
        <w:left w:val="none" w:sz="0" w:space="0" w:color="auto"/>
        <w:bottom w:val="none" w:sz="0" w:space="0" w:color="auto"/>
        <w:right w:val="none" w:sz="0" w:space="0" w:color="auto"/>
      </w:divBdr>
      <w:divsChild>
        <w:div w:id="1420984240">
          <w:marLeft w:val="0"/>
          <w:marRight w:val="0"/>
          <w:marTop w:val="0"/>
          <w:marBottom w:val="0"/>
          <w:divBdr>
            <w:top w:val="none" w:sz="0" w:space="0" w:color="auto"/>
            <w:left w:val="none" w:sz="0" w:space="0" w:color="auto"/>
            <w:bottom w:val="none" w:sz="0" w:space="0" w:color="auto"/>
            <w:right w:val="none" w:sz="0" w:space="0" w:color="auto"/>
          </w:divBdr>
          <w:divsChild>
            <w:div w:id="1248147575">
              <w:marLeft w:val="0"/>
              <w:marRight w:val="0"/>
              <w:marTop w:val="0"/>
              <w:marBottom w:val="0"/>
              <w:divBdr>
                <w:top w:val="none" w:sz="0" w:space="0" w:color="auto"/>
                <w:left w:val="none" w:sz="0" w:space="0" w:color="auto"/>
                <w:bottom w:val="none" w:sz="0" w:space="0" w:color="auto"/>
                <w:right w:val="none" w:sz="0" w:space="0" w:color="auto"/>
              </w:divBdr>
              <w:divsChild>
                <w:div w:id="1807769845">
                  <w:marLeft w:val="0"/>
                  <w:marRight w:val="0"/>
                  <w:marTop w:val="0"/>
                  <w:marBottom w:val="0"/>
                  <w:divBdr>
                    <w:top w:val="none" w:sz="0" w:space="0" w:color="auto"/>
                    <w:left w:val="none" w:sz="0" w:space="0" w:color="auto"/>
                    <w:bottom w:val="none" w:sz="0" w:space="0" w:color="auto"/>
                    <w:right w:val="none" w:sz="0" w:space="0" w:color="auto"/>
                  </w:divBdr>
                  <w:divsChild>
                    <w:div w:id="850991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353141">
      <w:bodyDiv w:val="1"/>
      <w:marLeft w:val="0"/>
      <w:marRight w:val="0"/>
      <w:marTop w:val="0"/>
      <w:marBottom w:val="0"/>
      <w:divBdr>
        <w:top w:val="none" w:sz="0" w:space="0" w:color="auto"/>
        <w:left w:val="none" w:sz="0" w:space="0" w:color="auto"/>
        <w:bottom w:val="none" w:sz="0" w:space="0" w:color="auto"/>
        <w:right w:val="none" w:sz="0" w:space="0" w:color="auto"/>
      </w:divBdr>
      <w:divsChild>
        <w:div w:id="938295999">
          <w:marLeft w:val="0"/>
          <w:marRight w:val="0"/>
          <w:marTop w:val="0"/>
          <w:marBottom w:val="0"/>
          <w:divBdr>
            <w:top w:val="none" w:sz="0" w:space="0" w:color="auto"/>
            <w:left w:val="none" w:sz="0" w:space="0" w:color="auto"/>
            <w:bottom w:val="none" w:sz="0" w:space="0" w:color="auto"/>
            <w:right w:val="none" w:sz="0" w:space="0" w:color="auto"/>
          </w:divBdr>
          <w:divsChild>
            <w:div w:id="146557088">
              <w:marLeft w:val="0"/>
              <w:marRight w:val="0"/>
              <w:marTop w:val="0"/>
              <w:marBottom w:val="0"/>
              <w:divBdr>
                <w:top w:val="none" w:sz="0" w:space="0" w:color="auto"/>
                <w:left w:val="none" w:sz="0" w:space="0" w:color="auto"/>
                <w:bottom w:val="none" w:sz="0" w:space="0" w:color="auto"/>
                <w:right w:val="none" w:sz="0" w:space="0" w:color="auto"/>
              </w:divBdr>
              <w:divsChild>
                <w:div w:id="766779404">
                  <w:marLeft w:val="0"/>
                  <w:marRight w:val="0"/>
                  <w:marTop w:val="0"/>
                  <w:marBottom w:val="0"/>
                  <w:divBdr>
                    <w:top w:val="none" w:sz="0" w:space="0" w:color="auto"/>
                    <w:left w:val="none" w:sz="0" w:space="0" w:color="auto"/>
                    <w:bottom w:val="none" w:sz="0" w:space="0" w:color="auto"/>
                    <w:right w:val="none" w:sz="0" w:space="0" w:color="auto"/>
                  </w:divBdr>
                  <w:divsChild>
                    <w:div w:id="169635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5175382">
      <w:bodyDiv w:val="1"/>
      <w:marLeft w:val="0"/>
      <w:marRight w:val="0"/>
      <w:marTop w:val="0"/>
      <w:marBottom w:val="0"/>
      <w:divBdr>
        <w:top w:val="none" w:sz="0" w:space="0" w:color="auto"/>
        <w:left w:val="none" w:sz="0" w:space="0" w:color="auto"/>
        <w:bottom w:val="none" w:sz="0" w:space="0" w:color="auto"/>
        <w:right w:val="none" w:sz="0" w:space="0" w:color="auto"/>
      </w:divBdr>
      <w:divsChild>
        <w:div w:id="824592380">
          <w:marLeft w:val="0"/>
          <w:marRight w:val="0"/>
          <w:marTop w:val="0"/>
          <w:marBottom w:val="0"/>
          <w:divBdr>
            <w:top w:val="none" w:sz="0" w:space="0" w:color="auto"/>
            <w:left w:val="none" w:sz="0" w:space="0" w:color="auto"/>
            <w:bottom w:val="none" w:sz="0" w:space="0" w:color="auto"/>
            <w:right w:val="none" w:sz="0" w:space="0" w:color="auto"/>
          </w:divBdr>
          <w:divsChild>
            <w:div w:id="616565378">
              <w:marLeft w:val="0"/>
              <w:marRight w:val="0"/>
              <w:marTop w:val="0"/>
              <w:marBottom w:val="0"/>
              <w:divBdr>
                <w:top w:val="none" w:sz="0" w:space="0" w:color="auto"/>
                <w:left w:val="none" w:sz="0" w:space="0" w:color="auto"/>
                <w:bottom w:val="none" w:sz="0" w:space="0" w:color="auto"/>
                <w:right w:val="none" w:sz="0" w:space="0" w:color="auto"/>
              </w:divBdr>
              <w:divsChild>
                <w:div w:id="321542268">
                  <w:marLeft w:val="0"/>
                  <w:marRight w:val="0"/>
                  <w:marTop w:val="0"/>
                  <w:marBottom w:val="0"/>
                  <w:divBdr>
                    <w:top w:val="none" w:sz="0" w:space="0" w:color="auto"/>
                    <w:left w:val="none" w:sz="0" w:space="0" w:color="auto"/>
                    <w:bottom w:val="none" w:sz="0" w:space="0" w:color="auto"/>
                    <w:right w:val="none" w:sz="0" w:space="0" w:color="auto"/>
                  </w:divBdr>
                  <w:divsChild>
                    <w:div w:id="1915705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665668">
      <w:bodyDiv w:val="1"/>
      <w:marLeft w:val="0"/>
      <w:marRight w:val="0"/>
      <w:marTop w:val="0"/>
      <w:marBottom w:val="0"/>
      <w:divBdr>
        <w:top w:val="none" w:sz="0" w:space="0" w:color="auto"/>
        <w:left w:val="none" w:sz="0" w:space="0" w:color="auto"/>
        <w:bottom w:val="none" w:sz="0" w:space="0" w:color="auto"/>
        <w:right w:val="none" w:sz="0" w:space="0" w:color="auto"/>
      </w:divBdr>
      <w:divsChild>
        <w:div w:id="317810267">
          <w:marLeft w:val="0"/>
          <w:marRight w:val="0"/>
          <w:marTop w:val="0"/>
          <w:marBottom w:val="0"/>
          <w:divBdr>
            <w:top w:val="none" w:sz="0" w:space="0" w:color="auto"/>
            <w:left w:val="none" w:sz="0" w:space="0" w:color="auto"/>
            <w:bottom w:val="none" w:sz="0" w:space="0" w:color="auto"/>
            <w:right w:val="none" w:sz="0" w:space="0" w:color="auto"/>
          </w:divBdr>
          <w:divsChild>
            <w:div w:id="257178185">
              <w:marLeft w:val="0"/>
              <w:marRight w:val="0"/>
              <w:marTop w:val="0"/>
              <w:marBottom w:val="0"/>
              <w:divBdr>
                <w:top w:val="none" w:sz="0" w:space="0" w:color="auto"/>
                <w:left w:val="none" w:sz="0" w:space="0" w:color="auto"/>
                <w:bottom w:val="none" w:sz="0" w:space="0" w:color="auto"/>
                <w:right w:val="none" w:sz="0" w:space="0" w:color="auto"/>
              </w:divBdr>
              <w:divsChild>
                <w:div w:id="734473803">
                  <w:marLeft w:val="0"/>
                  <w:marRight w:val="0"/>
                  <w:marTop w:val="0"/>
                  <w:marBottom w:val="0"/>
                  <w:divBdr>
                    <w:top w:val="none" w:sz="0" w:space="0" w:color="auto"/>
                    <w:left w:val="none" w:sz="0" w:space="0" w:color="auto"/>
                    <w:bottom w:val="none" w:sz="0" w:space="0" w:color="auto"/>
                    <w:right w:val="none" w:sz="0" w:space="0" w:color="auto"/>
                  </w:divBdr>
                  <w:divsChild>
                    <w:div w:id="168343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png"/><Relationship Id="rId18" Type="http://schemas.openxmlformats.org/officeDocument/2006/relationships/image" Target="media/image13.emf"/><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image" Target="media/image7.tiff"/><Relationship Id="rId17" Type="http://schemas.openxmlformats.org/officeDocument/2006/relationships/image" Target="media/image12.emf"/><Relationship Id="rId2" Type="http://schemas.openxmlformats.org/officeDocument/2006/relationships/settings" Target="settings.xml"/><Relationship Id="rId16" Type="http://schemas.openxmlformats.org/officeDocument/2006/relationships/image" Target="media/image11.emf"/><Relationship Id="rId20" Type="http://schemas.openxmlformats.org/officeDocument/2006/relationships/image" Target="media/image15.emf"/><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endnotes" Target="endnotes.xml"/><Relationship Id="rId15" Type="http://schemas.openxmlformats.org/officeDocument/2006/relationships/image" Target="media/image10.emf"/><Relationship Id="rId10" Type="http://schemas.openxmlformats.org/officeDocument/2006/relationships/image" Target="media/image5.emf"/><Relationship Id="rId19" Type="http://schemas.openxmlformats.org/officeDocument/2006/relationships/image" Target="media/image14.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17</Pages>
  <Words>1674</Words>
  <Characters>9543</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Jethro Johnson</dc:creator>
  <cp:lastModifiedBy>Jethro Johnson</cp:lastModifiedBy>
  <cp:revision>2</cp:revision>
  <dcterms:created xsi:type="dcterms:W3CDTF">2020-04-20T18:27:00Z</dcterms:created>
  <dcterms:modified xsi:type="dcterms:W3CDTF">2020-04-20T18:27:00Z</dcterms:modified>
</cp:coreProperties>
</file>