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B9BF1" w14:textId="3662CC48" w:rsidR="00AF4A5B" w:rsidRPr="00AF4A5B" w:rsidRDefault="00AF4A5B" w:rsidP="00AF4A5B">
      <w:pPr>
        <w:pStyle w:val="Title"/>
        <w:rPr>
          <w:sz w:val="32"/>
        </w:rPr>
      </w:pPr>
      <w:bookmarkStart w:id="0" w:name="_Hlk4747616"/>
      <w:r w:rsidRPr="00AF4A5B">
        <w:rPr>
          <w:sz w:val="32"/>
        </w:rPr>
        <w:t>Pericyte Bridges in Homeostasis and Hyperglycemia</w:t>
      </w:r>
    </w:p>
    <w:p w14:paraId="48FA2222" w14:textId="77777777" w:rsidR="00AF4A5B" w:rsidRPr="00AF4A5B" w:rsidRDefault="00AF4A5B" w:rsidP="00AF4A5B"/>
    <w:bookmarkEnd w:id="0"/>
    <w:p w14:paraId="200A3575" w14:textId="132624B7" w:rsidR="000F13FA" w:rsidRPr="001F0B66" w:rsidRDefault="000F13FA" w:rsidP="000F13FA">
      <w:pPr>
        <w:rPr>
          <w:szCs w:val="24"/>
        </w:rPr>
      </w:pPr>
      <w:r w:rsidRPr="001F0B66">
        <w:rPr>
          <w:szCs w:val="24"/>
        </w:rPr>
        <w:t>Bruce A. Corliss</w:t>
      </w:r>
      <w:r w:rsidRPr="001F0B66">
        <w:rPr>
          <w:szCs w:val="24"/>
          <w:vertAlign w:val="superscript"/>
        </w:rPr>
        <w:t>1</w:t>
      </w:r>
      <w:r w:rsidRPr="001F0B66">
        <w:rPr>
          <w:szCs w:val="24"/>
        </w:rPr>
        <w:t>, H</w:t>
      </w:r>
      <w:r w:rsidR="00DA777A">
        <w:rPr>
          <w:szCs w:val="24"/>
        </w:rPr>
        <w:t>.</w:t>
      </w:r>
      <w:r w:rsidRPr="001F0B66">
        <w:rPr>
          <w:szCs w:val="24"/>
        </w:rPr>
        <w:t xml:space="preserve"> C</w:t>
      </w:r>
      <w:r w:rsidR="00DA777A">
        <w:rPr>
          <w:szCs w:val="24"/>
        </w:rPr>
        <w:t>lifton</w:t>
      </w:r>
      <w:r w:rsidRPr="001F0B66">
        <w:rPr>
          <w:szCs w:val="24"/>
        </w:rPr>
        <w:t xml:space="preserve"> Ray</w:t>
      </w:r>
      <w:r w:rsidRPr="001F0B66">
        <w:rPr>
          <w:szCs w:val="24"/>
          <w:vertAlign w:val="superscript"/>
        </w:rPr>
        <w:t>1</w:t>
      </w:r>
      <w:r w:rsidRPr="001F0B66">
        <w:rPr>
          <w:szCs w:val="24"/>
        </w:rPr>
        <w:t xml:space="preserve">, </w:t>
      </w:r>
      <w:r w:rsidRPr="008D1869">
        <w:rPr>
          <w:szCs w:val="24"/>
        </w:rPr>
        <w:t xml:space="preserve">Richard </w:t>
      </w:r>
      <w:r w:rsidR="00AB108D">
        <w:rPr>
          <w:szCs w:val="24"/>
        </w:rPr>
        <w:t xml:space="preserve">W. </w:t>
      </w:r>
      <w:r w:rsidRPr="008D1869">
        <w:rPr>
          <w:szCs w:val="24"/>
        </w:rPr>
        <w:t>Doty</w:t>
      </w:r>
      <w:r w:rsidRPr="001F0B66">
        <w:rPr>
          <w:szCs w:val="24"/>
          <w:vertAlign w:val="superscript"/>
        </w:rPr>
        <w:t>1</w:t>
      </w:r>
      <w:r w:rsidRPr="008D1869">
        <w:rPr>
          <w:szCs w:val="24"/>
        </w:rPr>
        <w:t>, Corbin Mathews</w:t>
      </w:r>
      <w:r w:rsidRPr="001F0B66">
        <w:rPr>
          <w:szCs w:val="24"/>
          <w:vertAlign w:val="superscript"/>
        </w:rPr>
        <w:t>1</w:t>
      </w:r>
      <w:r w:rsidRPr="008D1869">
        <w:rPr>
          <w:szCs w:val="24"/>
        </w:rPr>
        <w:t>, Natasha Sheybani</w:t>
      </w:r>
      <w:r w:rsidRPr="001F0B66">
        <w:rPr>
          <w:szCs w:val="24"/>
          <w:vertAlign w:val="superscript"/>
        </w:rPr>
        <w:t>1</w:t>
      </w:r>
      <w:r w:rsidRPr="008D1869">
        <w:rPr>
          <w:szCs w:val="24"/>
        </w:rPr>
        <w:t xml:space="preserve">, </w:t>
      </w:r>
      <w:r w:rsidRPr="001F0B66">
        <w:rPr>
          <w:szCs w:val="24"/>
        </w:rPr>
        <w:t>Kathleen Fitzgerald</w:t>
      </w:r>
      <w:r w:rsidRPr="001F0B66">
        <w:rPr>
          <w:szCs w:val="24"/>
          <w:vertAlign w:val="superscript"/>
        </w:rPr>
        <w:t>1</w:t>
      </w:r>
      <w:r w:rsidRPr="001F0B66">
        <w:rPr>
          <w:szCs w:val="24"/>
        </w:rPr>
        <w:t>, Remi Prince</w:t>
      </w:r>
      <w:r w:rsidRPr="001F0B66">
        <w:rPr>
          <w:szCs w:val="24"/>
          <w:vertAlign w:val="superscript"/>
        </w:rPr>
        <w:t>1</w:t>
      </w:r>
      <w:r w:rsidRPr="001F0B66">
        <w:rPr>
          <w:szCs w:val="24"/>
        </w:rPr>
        <w:t xml:space="preserve">, Molly </w:t>
      </w:r>
      <w:r w:rsidR="002A15DB">
        <w:rPr>
          <w:szCs w:val="24"/>
        </w:rPr>
        <w:t xml:space="preserve">R. </w:t>
      </w:r>
      <w:r w:rsidRPr="001F0B66">
        <w:rPr>
          <w:szCs w:val="24"/>
        </w:rPr>
        <w:t>Kelly-Goss</w:t>
      </w:r>
      <w:r w:rsidRPr="001F0B66">
        <w:rPr>
          <w:szCs w:val="24"/>
          <w:vertAlign w:val="superscript"/>
        </w:rPr>
        <w:t>1</w:t>
      </w:r>
      <w:r w:rsidRPr="001F0B66">
        <w:rPr>
          <w:szCs w:val="24"/>
        </w:rPr>
        <w:t xml:space="preserve">, </w:t>
      </w:r>
      <w:r>
        <w:rPr>
          <w:szCs w:val="24"/>
        </w:rPr>
        <w:t>Walter L. Murfee</w:t>
      </w:r>
      <w:r w:rsidRPr="001F0B66">
        <w:rPr>
          <w:szCs w:val="24"/>
          <w:vertAlign w:val="superscript"/>
        </w:rPr>
        <w:t>2</w:t>
      </w:r>
      <w:r>
        <w:rPr>
          <w:szCs w:val="24"/>
        </w:rPr>
        <w:t xml:space="preserve">, </w:t>
      </w:r>
      <w:r w:rsidRPr="001F0B66">
        <w:rPr>
          <w:szCs w:val="24"/>
        </w:rPr>
        <w:t>John Chappell</w:t>
      </w:r>
      <w:r>
        <w:rPr>
          <w:szCs w:val="24"/>
          <w:vertAlign w:val="superscript"/>
        </w:rPr>
        <w:t>3</w:t>
      </w:r>
      <w:r w:rsidRPr="001F0B66">
        <w:rPr>
          <w:szCs w:val="24"/>
        </w:rPr>
        <w:t xml:space="preserve">, Gary </w:t>
      </w:r>
      <w:r w:rsidR="002A15DB">
        <w:rPr>
          <w:szCs w:val="24"/>
        </w:rPr>
        <w:t xml:space="preserve">K. </w:t>
      </w:r>
      <w:r w:rsidRPr="001F0B66">
        <w:rPr>
          <w:szCs w:val="24"/>
        </w:rPr>
        <w:t>Owens</w:t>
      </w:r>
      <w:r>
        <w:rPr>
          <w:szCs w:val="24"/>
          <w:vertAlign w:val="superscript"/>
        </w:rPr>
        <w:t>4</w:t>
      </w:r>
      <w:r w:rsidRPr="001F0B66">
        <w:rPr>
          <w:szCs w:val="24"/>
        </w:rPr>
        <w:t xml:space="preserve">, Paul </w:t>
      </w:r>
      <w:r w:rsidR="00165DCF">
        <w:rPr>
          <w:szCs w:val="24"/>
        </w:rPr>
        <w:t xml:space="preserve">A. </w:t>
      </w:r>
      <w:r w:rsidRPr="001F0B66">
        <w:rPr>
          <w:szCs w:val="24"/>
        </w:rPr>
        <w:t>Yates</w:t>
      </w:r>
      <w:r w:rsidRPr="001F0B66">
        <w:rPr>
          <w:szCs w:val="24"/>
          <w:vertAlign w:val="superscript"/>
        </w:rPr>
        <w:t>1,</w:t>
      </w:r>
      <w:r>
        <w:rPr>
          <w:szCs w:val="24"/>
          <w:vertAlign w:val="superscript"/>
        </w:rPr>
        <w:t>5</w:t>
      </w:r>
      <w:r w:rsidRPr="001F0B66">
        <w:rPr>
          <w:szCs w:val="24"/>
        </w:rPr>
        <w:t xml:space="preserve">, </w:t>
      </w:r>
      <w:proofErr w:type="spellStart"/>
      <w:r w:rsidRPr="001F0B66">
        <w:rPr>
          <w:szCs w:val="24"/>
        </w:rPr>
        <w:t>Shayn</w:t>
      </w:r>
      <w:proofErr w:type="spellEnd"/>
      <w:r w:rsidRPr="001F0B66">
        <w:rPr>
          <w:szCs w:val="24"/>
        </w:rPr>
        <w:t xml:space="preserve"> M. Peirce</w:t>
      </w:r>
      <w:r w:rsidRPr="001F0B66">
        <w:rPr>
          <w:szCs w:val="24"/>
          <w:vertAlign w:val="superscript"/>
        </w:rPr>
        <w:t>1,</w:t>
      </w:r>
      <w:r>
        <w:rPr>
          <w:szCs w:val="24"/>
          <w:vertAlign w:val="superscript"/>
        </w:rPr>
        <w:t>5</w:t>
      </w:r>
    </w:p>
    <w:p w14:paraId="42B17F87" w14:textId="77777777" w:rsidR="000F13FA" w:rsidRDefault="000F13FA" w:rsidP="000F13FA">
      <w:pPr>
        <w:rPr>
          <w:sz w:val="22"/>
        </w:rPr>
      </w:pPr>
      <w:r w:rsidRPr="009E3CFB">
        <w:rPr>
          <w:sz w:val="22"/>
          <w:vertAlign w:val="superscript"/>
        </w:rPr>
        <w:t>1</w:t>
      </w:r>
      <w:r>
        <w:rPr>
          <w:sz w:val="22"/>
        </w:rPr>
        <w:t>Department of Biomedical Engineering, University of Virginia, Charlottesville, Virginia</w:t>
      </w:r>
    </w:p>
    <w:p w14:paraId="2E763676" w14:textId="77777777" w:rsidR="000F13FA" w:rsidRDefault="000F13FA" w:rsidP="000F13FA">
      <w:pPr>
        <w:rPr>
          <w:sz w:val="22"/>
        </w:rPr>
      </w:pPr>
      <w:r w:rsidRPr="001F0B66">
        <w:rPr>
          <w:sz w:val="22"/>
          <w:vertAlign w:val="superscript"/>
        </w:rPr>
        <w:t>2</w:t>
      </w:r>
      <w:r>
        <w:rPr>
          <w:sz w:val="22"/>
        </w:rPr>
        <w:t>Department of Biomedical Engineering, University of Florida, Gainesville, Florida</w:t>
      </w:r>
    </w:p>
    <w:p w14:paraId="08140D3C" w14:textId="77777777" w:rsidR="000F13FA" w:rsidRDefault="000F13FA" w:rsidP="000F13FA">
      <w:pPr>
        <w:rPr>
          <w:sz w:val="22"/>
        </w:rPr>
      </w:pPr>
      <w:r>
        <w:rPr>
          <w:sz w:val="22"/>
          <w:vertAlign w:val="superscript"/>
        </w:rPr>
        <w:t>3</w:t>
      </w:r>
      <w:r>
        <w:rPr>
          <w:sz w:val="22"/>
        </w:rPr>
        <w:t>Fralin Biomedical Research Institute</w:t>
      </w:r>
      <w:r w:rsidRPr="00A6327D">
        <w:rPr>
          <w:sz w:val="22"/>
        </w:rPr>
        <w:t xml:space="preserve">, </w:t>
      </w:r>
      <w:r w:rsidRPr="005B3014">
        <w:rPr>
          <w:sz w:val="22"/>
        </w:rPr>
        <w:t>Virginia Polytechnic Institute and State University</w:t>
      </w:r>
      <w:r w:rsidRPr="00A6327D">
        <w:rPr>
          <w:sz w:val="22"/>
        </w:rPr>
        <w:t xml:space="preserve">, </w:t>
      </w:r>
      <w:r>
        <w:rPr>
          <w:sz w:val="22"/>
        </w:rPr>
        <w:t>Blacksburg</w:t>
      </w:r>
      <w:r w:rsidRPr="00A6327D">
        <w:rPr>
          <w:sz w:val="22"/>
        </w:rPr>
        <w:t>, VA, USA</w:t>
      </w:r>
    </w:p>
    <w:p w14:paraId="044C6B67" w14:textId="77777777" w:rsidR="000F13FA" w:rsidRDefault="000F13FA" w:rsidP="000F13FA">
      <w:pPr>
        <w:rPr>
          <w:sz w:val="22"/>
        </w:rPr>
      </w:pPr>
      <w:r>
        <w:rPr>
          <w:sz w:val="22"/>
          <w:vertAlign w:val="superscript"/>
        </w:rPr>
        <w:t>4</w:t>
      </w:r>
      <w:r w:rsidRPr="00A6327D">
        <w:rPr>
          <w:sz w:val="22"/>
        </w:rPr>
        <w:t>Robert M. Berne Cardiovascular Research Center, University of Virginia, Charlottesville, VA, USA</w:t>
      </w:r>
    </w:p>
    <w:p w14:paraId="02C0EF2A" w14:textId="77777777" w:rsidR="000F13FA" w:rsidRPr="005742BA" w:rsidRDefault="000F13FA" w:rsidP="000F13FA">
      <w:pPr>
        <w:rPr>
          <w:sz w:val="22"/>
        </w:rPr>
      </w:pPr>
      <w:r>
        <w:rPr>
          <w:sz w:val="22"/>
          <w:vertAlign w:val="superscript"/>
        </w:rPr>
        <w:t>5</w:t>
      </w:r>
      <w:r>
        <w:rPr>
          <w:sz w:val="22"/>
        </w:rPr>
        <w:t>Department of Ophthalmometry, UVA School of Medicine, Charlottesville, Virginia</w:t>
      </w:r>
    </w:p>
    <w:p w14:paraId="3EA3E032" w14:textId="6E4FAB1F" w:rsidR="000F13FA" w:rsidRDefault="000F13FA" w:rsidP="000F13FA">
      <w:pPr>
        <w:rPr>
          <w:rFonts w:cs="Times New Roman"/>
        </w:rPr>
      </w:pPr>
      <w:r w:rsidRPr="00CB45D9">
        <w:rPr>
          <w:rFonts w:cs="Times New Roman"/>
          <w:b/>
        </w:rPr>
        <w:t>Short Running Lead</w:t>
      </w:r>
      <w:r>
        <w:rPr>
          <w:rFonts w:cs="Times New Roman"/>
        </w:rPr>
        <w:t xml:space="preserve">: Pericyte </w:t>
      </w:r>
      <w:r w:rsidR="00B93FB1">
        <w:rPr>
          <w:rFonts w:cs="Times New Roman"/>
        </w:rPr>
        <w:t>Bridg</w:t>
      </w:r>
      <w:r w:rsidR="00B117EC">
        <w:rPr>
          <w:rFonts w:cs="Times New Roman"/>
        </w:rPr>
        <w:t>es</w:t>
      </w:r>
      <w:r w:rsidR="00224AD1">
        <w:rPr>
          <w:rFonts w:cs="Times New Roman"/>
        </w:rPr>
        <w:t xml:space="preserve"> in Diabetes and Homeostasis</w:t>
      </w:r>
    </w:p>
    <w:p w14:paraId="359B2E64" w14:textId="77777777" w:rsidR="00FF70D7" w:rsidRDefault="00FF70D7" w:rsidP="00EE758C">
      <w:pPr>
        <w:spacing w:line="240" w:lineRule="auto"/>
        <w:rPr>
          <w:rFonts w:cs="Times New Roman"/>
        </w:rPr>
      </w:pPr>
      <w:r>
        <w:rPr>
          <w:rFonts w:cs="Times New Roman"/>
          <w:b/>
        </w:rPr>
        <w:t>Corresponding Author</w:t>
      </w:r>
      <w:r>
        <w:rPr>
          <w:rFonts w:cs="Times New Roman"/>
        </w:rPr>
        <w:t>:</w:t>
      </w:r>
    </w:p>
    <w:p w14:paraId="1D4F83B4" w14:textId="77777777" w:rsidR="00FF70D7" w:rsidRDefault="00FF70D7" w:rsidP="00FF70D7">
      <w:pPr>
        <w:pStyle w:val="NoSpacing"/>
        <w:rPr>
          <w:rFonts w:cs="Times New Roman"/>
        </w:rPr>
      </w:pPr>
      <w:proofErr w:type="spellStart"/>
      <w:r>
        <w:rPr>
          <w:rFonts w:cs="Times New Roman"/>
        </w:rPr>
        <w:t>Shayn</w:t>
      </w:r>
      <w:proofErr w:type="spellEnd"/>
      <w:r>
        <w:rPr>
          <w:rFonts w:cs="Times New Roman"/>
        </w:rPr>
        <w:t xml:space="preserve"> M. Peirce, Ph.D.</w:t>
      </w:r>
    </w:p>
    <w:p w14:paraId="0E7C4DE9" w14:textId="77777777" w:rsidR="00FF70D7" w:rsidRDefault="00FF70D7" w:rsidP="00FF70D7">
      <w:pPr>
        <w:pStyle w:val="NoSpacing"/>
        <w:rPr>
          <w:rFonts w:cs="Times New Roman"/>
        </w:rPr>
      </w:pPr>
      <w:r>
        <w:rPr>
          <w:rFonts w:cs="Times New Roman"/>
        </w:rPr>
        <w:t>Professor</w:t>
      </w:r>
    </w:p>
    <w:p w14:paraId="51C59BFD" w14:textId="77777777" w:rsidR="00FF70D7" w:rsidRDefault="00FF70D7" w:rsidP="00FF70D7">
      <w:pPr>
        <w:pStyle w:val="NoSpacing"/>
        <w:rPr>
          <w:rFonts w:cs="Times New Roman"/>
        </w:rPr>
      </w:pPr>
      <w:r>
        <w:rPr>
          <w:rFonts w:cs="Times New Roman"/>
        </w:rPr>
        <w:t>Department of Biomedical Engineering</w:t>
      </w:r>
    </w:p>
    <w:p w14:paraId="24FE2988" w14:textId="77777777" w:rsidR="00FF70D7" w:rsidRDefault="00FF70D7" w:rsidP="00FF70D7">
      <w:pPr>
        <w:pStyle w:val="NoSpacing"/>
        <w:rPr>
          <w:rFonts w:cs="Times New Roman"/>
        </w:rPr>
      </w:pPr>
      <w:r>
        <w:rPr>
          <w:rFonts w:cs="Times New Roman"/>
        </w:rPr>
        <w:t>415 Lane Road</w:t>
      </w:r>
    </w:p>
    <w:p w14:paraId="458BFA1B" w14:textId="77777777" w:rsidR="00FF70D7" w:rsidRDefault="00FF70D7" w:rsidP="00FF70D7">
      <w:pPr>
        <w:pStyle w:val="NoSpacing"/>
        <w:rPr>
          <w:rFonts w:cs="Times New Roman"/>
        </w:rPr>
      </w:pPr>
      <w:r>
        <w:rPr>
          <w:rFonts w:cs="Times New Roman"/>
        </w:rPr>
        <w:t>University of Virginia</w:t>
      </w:r>
    </w:p>
    <w:p w14:paraId="28610BAD" w14:textId="2FF6FDD7" w:rsidR="00FF70D7" w:rsidRDefault="00FF70D7" w:rsidP="00EE758C">
      <w:pPr>
        <w:pStyle w:val="NoSpacing"/>
        <w:rPr>
          <w:rFonts w:cs="Times New Roman"/>
        </w:rPr>
      </w:pPr>
      <w:r>
        <w:rPr>
          <w:rFonts w:cs="Times New Roman"/>
        </w:rPr>
        <w:t>Charlottesville, VA 22908</w:t>
      </w:r>
    </w:p>
    <w:p w14:paraId="3174EC7C" w14:textId="77777777" w:rsidR="00EE758C" w:rsidRDefault="00EE758C" w:rsidP="00EE758C">
      <w:pPr>
        <w:pStyle w:val="NoSpacing"/>
        <w:rPr>
          <w:rFonts w:cs="Times New Roman"/>
        </w:rPr>
      </w:pPr>
    </w:p>
    <w:p w14:paraId="0AE2D248" w14:textId="508B3EC5" w:rsidR="00EB07DC" w:rsidRDefault="000369F9">
      <w:pPr>
        <w:rPr>
          <w:rFonts w:cs="Times New Roman"/>
          <w:b/>
        </w:rPr>
      </w:pPr>
      <w:r>
        <w:rPr>
          <w:rFonts w:cs="Times New Roman"/>
          <w:b/>
        </w:rPr>
        <w:t>Supplement Contains</w:t>
      </w:r>
    </w:p>
    <w:p w14:paraId="1B74C6DC" w14:textId="7BC820D0" w:rsidR="000369F9" w:rsidRDefault="004C74D5" w:rsidP="00A66887">
      <w:pPr>
        <w:spacing w:line="240" w:lineRule="auto"/>
        <w:rPr>
          <w:rFonts w:cs="Times New Roman"/>
        </w:rPr>
      </w:pPr>
      <w:r>
        <w:rPr>
          <w:rFonts w:cs="Times New Roman"/>
        </w:rPr>
        <w:t xml:space="preserve">Supplementary </w:t>
      </w:r>
      <w:r w:rsidR="000369F9">
        <w:rPr>
          <w:rFonts w:cs="Times New Roman"/>
        </w:rPr>
        <w:t>Figures 1-</w:t>
      </w:r>
      <w:r w:rsidR="00C60594">
        <w:rPr>
          <w:rFonts w:cs="Times New Roman"/>
        </w:rPr>
        <w:t>7</w:t>
      </w:r>
    </w:p>
    <w:p w14:paraId="0C9956FF" w14:textId="16CBC531" w:rsidR="00C60594" w:rsidRDefault="00C60594" w:rsidP="00A66887">
      <w:pPr>
        <w:spacing w:line="240" w:lineRule="auto"/>
        <w:rPr>
          <w:rFonts w:cs="Times New Roman"/>
        </w:rPr>
      </w:pPr>
      <w:r>
        <w:rPr>
          <w:rFonts w:cs="Times New Roman"/>
        </w:rPr>
        <w:t>Supplementary Tables 1-2</w:t>
      </w:r>
    </w:p>
    <w:p w14:paraId="2258A1E6" w14:textId="46BE22A3" w:rsidR="00555704" w:rsidRDefault="00555704" w:rsidP="00A66887">
      <w:pPr>
        <w:spacing w:line="240" w:lineRule="auto"/>
        <w:rPr>
          <w:rFonts w:cs="Times New Roman"/>
        </w:rPr>
      </w:pPr>
      <w:r>
        <w:rPr>
          <w:rFonts w:cs="Times New Roman"/>
        </w:rPr>
        <w:t>Supplementary Notes 1-4</w:t>
      </w:r>
    </w:p>
    <w:p w14:paraId="78195C55" w14:textId="2CF78FA3" w:rsidR="00855733" w:rsidRDefault="00855733" w:rsidP="00A66887">
      <w:pPr>
        <w:spacing w:line="240" w:lineRule="auto"/>
        <w:rPr>
          <w:rFonts w:cs="Times New Roman"/>
        </w:rPr>
      </w:pPr>
      <w:r>
        <w:rPr>
          <w:rFonts w:cs="Times New Roman"/>
        </w:rPr>
        <w:t xml:space="preserve">Supplementary </w:t>
      </w:r>
      <w:r w:rsidR="00193883">
        <w:rPr>
          <w:rFonts w:cs="Times New Roman"/>
        </w:rPr>
        <w:t>Videos</w:t>
      </w:r>
      <w:r>
        <w:rPr>
          <w:rFonts w:cs="Times New Roman"/>
        </w:rPr>
        <w:t xml:space="preserve"> 1-2</w:t>
      </w:r>
    </w:p>
    <w:p w14:paraId="5E8D04C6" w14:textId="62FCFAAB" w:rsidR="00895477" w:rsidRDefault="00895477">
      <w:pPr>
        <w:spacing w:line="259" w:lineRule="auto"/>
        <w:rPr>
          <w:rFonts w:cs="Times New Roman"/>
        </w:rPr>
      </w:pPr>
      <w:r>
        <w:rPr>
          <w:rFonts w:cs="Times New Roman"/>
        </w:rPr>
        <w:br w:type="page"/>
      </w:r>
    </w:p>
    <w:p w14:paraId="483ED494" w14:textId="296E60B8" w:rsidR="00833912" w:rsidRDefault="00833912" w:rsidP="001C748A">
      <w:pPr>
        <w:pStyle w:val="Heading1"/>
      </w:pPr>
      <w:r>
        <w:lastRenderedPageBreak/>
        <w:t>Supplementary Figures</w:t>
      </w:r>
    </w:p>
    <w:p w14:paraId="032A5F61" w14:textId="77777777" w:rsidR="00D64382" w:rsidRDefault="007210E8" w:rsidP="00895477">
      <w:pPr>
        <w:rPr>
          <w:b/>
        </w:rPr>
      </w:pPr>
      <w:r>
        <w:rPr>
          <w:rFonts w:cs="Times New Roman"/>
          <w:b/>
          <w:noProof/>
        </w:rPr>
        <w:drawing>
          <wp:inline distT="0" distB="0" distL="0" distR="0" wp14:anchorId="103A771C" wp14:editId="413D1A29">
            <wp:extent cx="6105755" cy="25527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
                      <a:extLst>
                        <a:ext uri="{28A0092B-C50C-407E-A947-70E740481C1C}">
                          <a14:useLocalDpi xmlns:a14="http://schemas.microsoft.com/office/drawing/2010/main" val="0"/>
                        </a:ext>
                      </a:extLst>
                    </a:blip>
                    <a:srcRect l="5508" t="16381" r="6356" b="55983"/>
                    <a:stretch/>
                  </pic:blipFill>
                  <pic:spPr bwMode="auto">
                    <a:xfrm>
                      <a:off x="0" y="0"/>
                      <a:ext cx="6112894" cy="2555685"/>
                    </a:xfrm>
                    <a:prstGeom prst="rect">
                      <a:avLst/>
                    </a:prstGeom>
                    <a:noFill/>
                    <a:ln>
                      <a:noFill/>
                    </a:ln>
                    <a:extLst>
                      <a:ext uri="{53640926-AAD7-44D8-BBD7-CCE9431645EC}">
                        <a14:shadowObscured xmlns:a14="http://schemas.microsoft.com/office/drawing/2010/main"/>
                      </a:ext>
                    </a:extLst>
                  </pic:spPr>
                </pic:pic>
              </a:graphicData>
            </a:graphic>
          </wp:inline>
        </w:drawing>
      </w:r>
    </w:p>
    <w:p w14:paraId="3123103D" w14:textId="2766A952" w:rsidR="00895477" w:rsidRPr="003256AF" w:rsidRDefault="00895477" w:rsidP="00895477">
      <w:pPr>
        <w:rPr>
          <w:rFonts w:cs="Times New Roman"/>
          <w:b/>
        </w:rPr>
      </w:pPr>
      <w:r w:rsidRPr="00205C09">
        <w:rPr>
          <w:b/>
        </w:rPr>
        <w:t>Supplementary Figure 1</w:t>
      </w:r>
      <w:r w:rsidRPr="00F9193E">
        <w:rPr>
          <w:rFonts w:cs="Times New Roman"/>
          <w:b/>
        </w:rPr>
        <w:t xml:space="preserve">: Off-vessel </w:t>
      </w:r>
      <w:r w:rsidR="00BA74A2">
        <w:rPr>
          <w:rFonts w:cs="Times New Roman"/>
          <w:b/>
        </w:rPr>
        <w:t>Col-IV</w:t>
      </w:r>
      <w:r w:rsidRPr="00F9193E">
        <w:rPr>
          <w:rFonts w:cs="Times New Roman"/>
          <w:b/>
        </w:rPr>
        <w:t xml:space="preserve"> </w:t>
      </w:r>
      <w:r w:rsidR="001827B9">
        <w:rPr>
          <w:rFonts w:cs="Times New Roman"/>
          <w:b/>
        </w:rPr>
        <w:t>bridges</w:t>
      </w:r>
      <w:r w:rsidR="0042187B">
        <w:rPr>
          <w:rFonts w:cs="Times New Roman"/>
          <w:b/>
        </w:rPr>
        <w:t xml:space="preserve"> do not express the endothelial markers CD34 and CD105 in mice</w:t>
      </w:r>
      <w:r>
        <w:rPr>
          <w:rFonts w:cs="Times New Roman"/>
        </w:rPr>
        <w:t>.</w:t>
      </w:r>
      <w:r w:rsidR="0042187B">
        <w:rPr>
          <w:rFonts w:cs="Times New Roman"/>
        </w:rPr>
        <w:t xml:space="preserve"> (</w:t>
      </w:r>
      <w:r w:rsidR="001827B9">
        <w:rPr>
          <w:rFonts w:cs="Times New Roman"/>
          <w:b/>
        </w:rPr>
        <w:t>A</w:t>
      </w:r>
      <w:r w:rsidR="0042187B">
        <w:rPr>
          <w:rFonts w:cs="Times New Roman"/>
        </w:rPr>
        <w:t>) Murine retina of Myh11-</w:t>
      </w:r>
      <w:r w:rsidR="00997E34">
        <w:rPr>
          <w:rFonts w:cs="Times New Roman"/>
        </w:rPr>
        <w:t>RFP</w:t>
      </w:r>
      <w:r w:rsidR="0042187B">
        <w:rPr>
          <w:rFonts w:cs="Times New Roman"/>
        </w:rPr>
        <w:t xml:space="preserve"> mice, with RFP denoting </w:t>
      </w:r>
      <w:r w:rsidR="00926072">
        <w:rPr>
          <w:rFonts w:cs="Times New Roman"/>
        </w:rPr>
        <w:t xml:space="preserve">Myh11 </w:t>
      </w:r>
      <w:r w:rsidR="0042187B">
        <w:rPr>
          <w:rFonts w:cs="Times New Roman"/>
        </w:rPr>
        <w:t>lineage</w:t>
      </w:r>
      <w:r w:rsidR="00C95E4B">
        <w:rPr>
          <w:rFonts w:cs="Times New Roman"/>
        </w:rPr>
        <w:t>-</w:t>
      </w:r>
      <w:r w:rsidR="0042187B">
        <w:rPr>
          <w:rFonts w:cs="Times New Roman"/>
        </w:rPr>
        <w:t>marked cells (red</w:t>
      </w:r>
      <w:r w:rsidR="0004243B">
        <w:rPr>
          <w:rFonts w:cs="Times New Roman"/>
        </w:rPr>
        <w:t>, star</w:t>
      </w:r>
      <w:r w:rsidR="0042187B">
        <w:rPr>
          <w:rFonts w:cs="Times New Roman"/>
        </w:rPr>
        <w:t xml:space="preserve">), anti-laminin (green), anti-CD34 (yellow), and DAPI </w:t>
      </w:r>
      <w:r w:rsidR="003B2EB7">
        <w:rPr>
          <w:rFonts w:cs="Times New Roman"/>
        </w:rPr>
        <w:t>nuclei</w:t>
      </w:r>
      <w:r w:rsidR="0042187B">
        <w:rPr>
          <w:rFonts w:cs="Times New Roman"/>
        </w:rPr>
        <w:t xml:space="preserve"> (cyan). </w:t>
      </w:r>
      <w:r w:rsidR="008679BE">
        <w:rPr>
          <w:rFonts w:cs="Times New Roman"/>
        </w:rPr>
        <w:t>(</w:t>
      </w:r>
      <w:r w:rsidR="001827B9">
        <w:rPr>
          <w:rFonts w:cs="Times New Roman"/>
          <w:b/>
        </w:rPr>
        <w:t>B</w:t>
      </w:r>
      <w:r w:rsidR="008679BE">
        <w:rPr>
          <w:rFonts w:cs="Times New Roman"/>
        </w:rPr>
        <w:t xml:space="preserve">) </w:t>
      </w:r>
      <w:r w:rsidR="003B2EB7">
        <w:rPr>
          <w:rFonts w:cs="Times New Roman"/>
        </w:rPr>
        <w:t>M</w:t>
      </w:r>
      <w:r w:rsidR="001B638B">
        <w:rPr>
          <w:rFonts w:cs="Times New Roman"/>
        </w:rPr>
        <w:t>urine retina with RFP denoting lineage</w:t>
      </w:r>
      <w:r w:rsidR="00FA1847">
        <w:rPr>
          <w:rFonts w:cs="Times New Roman"/>
        </w:rPr>
        <w:t>-</w:t>
      </w:r>
      <w:r w:rsidR="001B638B">
        <w:rPr>
          <w:rFonts w:cs="Times New Roman"/>
        </w:rPr>
        <w:t>marked cells (red</w:t>
      </w:r>
      <w:r w:rsidR="0004243B">
        <w:rPr>
          <w:rFonts w:cs="Times New Roman"/>
        </w:rPr>
        <w:t>, star</w:t>
      </w:r>
      <w:r w:rsidR="001B638B">
        <w:rPr>
          <w:rFonts w:cs="Times New Roman"/>
        </w:rPr>
        <w:t>), anti-laminin (green), anti-CD</w:t>
      </w:r>
      <w:r w:rsidR="003B2EB7">
        <w:rPr>
          <w:rFonts w:cs="Times New Roman"/>
        </w:rPr>
        <w:t>105</w:t>
      </w:r>
      <w:r w:rsidR="001B638B">
        <w:rPr>
          <w:rFonts w:cs="Times New Roman"/>
        </w:rPr>
        <w:t xml:space="preserve"> (yellow), and DAPI </w:t>
      </w:r>
      <w:r w:rsidR="009E65A4">
        <w:rPr>
          <w:rFonts w:cs="Times New Roman"/>
        </w:rPr>
        <w:t>nuclei</w:t>
      </w:r>
      <w:r w:rsidR="001B638B">
        <w:rPr>
          <w:rFonts w:cs="Times New Roman"/>
        </w:rPr>
        <w:t xml:space="preserve"> (cyan) </w:t>
      </w:r>
      <w:r w:rsidR="0042187B">
        <w:rPr>
          <w:rFonts w:cs="Times New Roman"/>
        </w:rPr>
        <w:t>(scale bar 15 um)</w:t>
      </w:r>
      <w:r w:rsidR="008679BE">
        <w:rPr>
          <w:rFonts w:cs="Times New Roman"/>
        </w:rPr>
        <w:t xml:space="preserve">. </w:t>
      </w:r>
    </w:p>
    <w:p w14:paraId="51AA9043" w14:textId="77777777" w:rsidR="00D45FE9" w:rsidRPr="00D45FE9" w:rsidRDefault="003256AF" w:rsidP="00895477">
      <w:pPr>
        <w:rPr>
          <w:rFonts w:cs="Times New Roman"/>
          <w:b/>
          <w:vanish/>
          <w:specVanish/>
        </w:rPr>
      </w:pPr>
      <w:r>
        <w:rPr>
          <w:rFonts w:cs="Times New Roman"/>
          <w:noProof/>
        </w:rPr>
        <w:lastRenderedPageBreak/>
        <w:drawing>
          <wp:inline distT="0" distB="0" distL="0" distR="0" wp14:anchorId="4AB3105D" wp14:editId="4E58DFB7">
            <wp:extent cx="6350213" cy="606869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622"/>
                    <a:stretch/>
                  </pic:blipFill>
                  <pic:spPr bwMode="auto">
                    <a:xfrm>
                      <a:off x="0" y="0"/>
                      <a:ext cx="6350650" cy="6069113"/>
                    </a:xfrm>
                    <a:prstGeom prst="rect">
                      <a:avLst/>
                    </a:prstGeom>
                    <a:noFill/>
                    <a:ln>
                      <a:noFill/>
                    </a:ln>
                    <a:extLst>
                      <a:ext uri="{53640926-AAD7-44D8-BBD7-CCE9431645EC}">
                        <a14:shadowObscured xmlns:a14="http://schemas.microsoft.com/office/drawing/2010/main"/>
                      </a:ext>
                    </a:extLst>
                  </pic:spPr>
                </pic:pic>
              </a:graphicData>
            </a:graphic>
          </wp:inline>
        </w:drawing>
      </w:r>
      <w:r w:rsidR="00895477" w:rsidRPr="00D45FE9">
        <w:rPr>
          <w:b/>
        </w:rPr>
        <w:t>Supplementary Figure 2:</w:t>
      </w:r>
    </w:p>
    <w:p w14:paraId="1C0493F6" w14:textId="703CF299" w:rsidR="00895477" w:rsidRDefault="00895477" w:rsidP="00895477">
      <w:pPr>
        <w:rPr>
          <w:rFonts w:cs="Times New Roman"/>
        </w:rPr>
      </w:pPr>
      <w:r w:rsidRPr="006D7F81">
        <w:rPr>
          <w:rFonts w:cs="Times New Roman"/>
          <w:b/>
        </w:rPr>
        <w:t xml:space="preserve"> </w:t>
      </w:r>
      <w:r w:rsidR="00486ED3">
        <w:rPr>
          <w:rFonts w:cs="Times New Roman"/>
          <w:b/>
        </w:rPr>
        <w:t>D</w:t>
      </w:r>
      <w:r w:rsidR="00F2179E">
        <w:rPr>
          <w:rFonts w:cs="Times New Roman"/>
          <w:b/>
        </w:rPr>
        <w:t>ensity of pericyt</w:t>
      </w:r>
      <w:r w:rsidR="00D46F46">
        <w:rPr>
          <w:rFonts w:cs="Times New Roman"/>
          <w:b/>
        </w:rPr>
        <w:t>e bridges</w:t>
      </w:r>
      <w:r w:rsidR="00F2179E">
        <w:rPr>
          <w:rFonts w:cs="Times New Roman"/>
          <w:b/>
        </w:rPr>
        <w:t xml:space="preserve"> and basement membrane bridges correlate with blood glucose level at time of sacrifice</w:t>
      </w:r>
      <w:r w:rsidR="00D44181">
        <w:rPr>
          <w:rFonts w:cs="Times New Roman"/>
          <w:b/>
        </w:rPr>
        <w:t xml:space="preserve"> with </w:t>
      </w:r>
      <w:r w:rsidR="00EB1486">
        <w:rPr>
          <w:rFonts w:cs="Times New Roman"/>
          <w:b/>
        </w:rPr>
        <w:t>short-term</w:t>
      </w:r>
      <w:r w:rsidR="00D44181">
        <w:rPr>
          <w:rFonts w:cs="Times New Roman"/>
          <w:b/>
        </w:rPr>
        <w:t xml:space="preserve"> </w:t>
      </w:r>
      <w:r w:rsidR="0007313B">
        <w:rPr>
          <w:rFonts w:cs="Times New Roman"/>
          <w:b/>
        </w:rPr>
        <w:t>diabetes</w:t>
      </w:r>
      <w:r w:rsidR="00F2179E">
        <w:rPr>
          <w:rFonts w:cs="Times New Roman"/>
          <w:b/>
        </w:rPr>
        <w:t>.</w:t>
      </w:r>
      <w:r>
        <w:rPr>
          <w:rFonts w:cs="Times New Roman"/>
        </w:rPr>
        <w:t xml:space="preserve"> (</w:t>
      </w:r>
      <w:r w:rsidRPr="00A82E20">
        <w:rPr>
          <w:rFonts w:cs="Times New Roman"/>
          <w:b/>
        </w:rPr>
        <w:t>A</w:t>
      </w:r>
      <w:r>
        <w:rPr>
          <w:rFonts w:cs="Times New Roman"/>
        </w:rPr>
        <w:t xml:space="preserve">) Experiment </w:t>
      </w:r>
      <w:r w:rsidR="00E16900">
        <w:rPr>
          <w:rFonts w:cs="Times New Roman"/>
        </w:rPr>
        <w:t>design</w:t>
      </w:r>
      <w:r w:rsidR="00486ED3">
        <w:rPr>
          <w:rFonts w:cs="Times New Roman"/>
        </w:rPr>
        <w:t xml:space="preserve"> illustrating study groups and timepoints</w:t>
      </w:r>
      <w:r>
        <w:rPr>
          <w:rFonts w:cs="Times New Roman"/>
        </w:rPr>
        <w:t>. (</w:t>
      </w:r>
      <w:r w:rsidRPr="006D7F81">
        <w:rPr>
          <w:rFonts w:cs="Times New Roman"/>
          <w:b/>
        </w:rPr>
        <w:t>B</w:t>
      </w:r>
      <w:r>
        <w:rPr>
          <w:rFonts w:cs="Times New Roman"/>
        </w:rPr>
        <w:t xml:space="preserve">) </w:t>
      </w:r>
      <w:r w:rsidR="000E4BF8">
        <w:rPr>
          <w:rFonts w:cs="Times New Roman"/>
        </w:rPr>
        <w:t>Blood glucose concentrations and (</w:t>
      </w:r>
      <w:r w:rsidR="000E4BF8" w:rsidRPr="006D7F81">
        <w:rPr>
          <w:rFonts w:cs="Times New Roman"/>
          <w:b/>
        </w:rPr>
        <w:t>C</w:t>
      </w:r>
      <w:r w:rsidR="000E4BF8">
        <w:rPr>
          <w:rFonts w:cs="Times New Roman"/>
        </w:rPr>
        <w:t>) weight at time of sacrifice for each treatment group</w:t>
      </w:r>
      <w:r w:rsidR="00710AB7">
        <w:rPr>
          <w:rFonts w:cs="Times New Roman"/>
        </w:rPr>
        <w:t xml:space="preserve"> </w:t>
      </w:r>
      <w:r w:rsidR="00021443">
        <w:rPr>
          <w:rFonts w:cs="Times New Roman"/>
        </w:rPr>
        <w:t xml:space="preserve">(day 7: </w:t>
      </w:r>
      <w:r w:rsidR="00021443">
        <w:t xml:space="preserve">unpaired t-test, day 14: 1-way ANOVA with Tukey multiple comparisons, </w:t>
      </w:r>
      <w:r w:rsidR="00021443">
        <w:rPr>
          <w:rFonts w:cs="Times New Roman"/>
        </w:rPr>
        <w:t>N=9 mice)</w:t>
      </w:r>
      <w:r w:rsidR="000E4BF8">
        <w:rPr>
          <w:rFonts w:cs="Times New Roman"/>
        </w:rPr>
        <w:t>. For all mice across</w:t>
      </w:r>
      <w:r w:rsidR="00F2179E">
        <w:rPr>
          <w:rFonts w:cs="Times New Roman"/>
        </w:rPr>
        <w:t xml:space="preserve"> treatment groups</w:t>
      </w:r>
      <w:r>
        <w:rPr>
          <w:rFonts w:cs="Times New Roman"/>
        </w:rPr>
        <w:t>, Pearson correlation between blood glucose level at harvest and (</w:t>
      </w:r>
      <w:r w:rsidRPr="006D7F81">
        <w:rPr>
          <w:rFonts w:cs="Times New Roman"/>
          <w:b/>
        </w:rPr>
        <w:t>D</w:t>
      </w:r>
      <w:r>
        <w:rPr>
          <w:rFonts w:cs="Times New Roman"/>
        </w:rPr>
        <w:t>) fraction of NG2+</w:t>
      </w:r>
      <w:r w:rsidR="00A94F3F">
        <w:rPr>
          <w:rFonts w:cs="Times New Roman"/>
        </w:rPr>
        <w:t xml:space="preserve"> </w:t>
      </w:r>
      <w:r w:rsidR="006C5FAF">
        <w:rPr>
          <w:rFonts w:cs="Times New Roman"/>
        </w:rPr>
        <w:t xml:space="preserve">pericytes that are </w:t>
      </w:r>
      <w:r w:rsidR="00A94F3F">
        <w:rPr>
          <w:rFonts w:cs="Times New Roman"/>
        </w:rPr>
        <w:t>pericyte</w:t>
      </w:r>
      <w:r w:rsidR="00D46F46">
        <w:rPr>
          <w:rFonts w:cs="Times New Roman"/>
        </w:rPr>
        <w:t xml:space="preserve"> bridges</w:t>
      </w:r>
      <w:r w:rsidR="00F2179E">
        <w:rPr>
          <w:rFonts w:cs="Times New Roman"/>
        </w:rPr>
        <w:t>,</w:t>
      </w:r>
      <w:r>
        <w:rPr>
          <w:rFonts w:cs="Times New Roman"/>
        </w:rPr>
        <w:t xml:space="preserve"> (</w:t>
      </w:r>
      <w:r w:rsidRPr="006D7F81">
        <w:rPr>
          <w:rFonts w:cs="Times New Roman"/>
          <w:b/>
        </w:rPr>
        <w:t>E</w:t>
      </w:r>
      <w:r>
        <w:rPr>
          <w:rFonts w:cs="Times New Roman"/>
        </w:rPr>
        <w:t xml:space="preserve">) fraction of </w:t>
      </w:r>
      <w:r>
        <w:rPr>
          <w:rFonts w:cs="Times New Roman"/>
        </w:rPr>
        <w:lastRenderedPageBreak/>
        <w:t xml:space="preserve">NG2+ </w:t>
      </w:r>
      <w:r w:rsidR="00FE4824">
        <w:rPr>
          <w:rFonts w:cs="Times New Roman"/>
        </w:rPr>
        <w:t>pericytes</w:t>
      </w:r>
      <w:r>
        <w:rPr>
          <w:rFonts w:cs="Times New Roman"/>
        </w:rPr>
        <w:t xml:space="preserve"> with </w:t>
      </w:r>
      <w:r w:rsidR="00097227">
        <w:rPr>
          <w:rFonts w:cs="Times New Roman"/>
        </w:rPr>
        <w:t xml:space="preserve">basement bridged </w:t>
      </w:r>
      <w:r>
        <w:rPr>
          <w:rFonts w:cs="Times New Roman"/>
        </w:rPr>
        <w:t>phenotype, (</w:t>
      </w:r>
      <w:r w:rsidRPr="006D7F81">
        <w:rPr>
          <w:rFonts w:cs="Times New Roman"/>
          <w:b/>
        </w:rPr>
        <w:t>F</w:t>
      </w:r>
      <w:r>
        <w:rPr>
          <w:rFonts w:cs="Times New Roman"/>
        </w:rPr>
        <w:t xml:space="preserve">) NG2+ </w:t>
      </w:r>
      <w:r w:rsidR="00097227">
        <w:rPr>
          <w:rFonts w:cs="Times New Roman"/>
        </w:rPr>
        <w:t>basement membrane bridges</w:t>
      </w:r>
      <w:r>
        <w:rPr>
          <w:rFonts w:cs="Times New Roman"/>
        </w:rPr>
        <w:t xml:space="preserve"> per field of view, and (</w:t>
      </w:r>
      <w:r w:rsidRPr="006D7F81">
        <w:rPr>
          <w:rFonts w:cs="Times New Roman"/>
          <w:b/>
        </w:rPr>
        <w:t>G</w:t>
      </w:r>
      <w:r>
        <w:rPr>
          <w:rFonts w:cs="Times New Roman"/>
        </w:rPr>
        <w:t xml:space="preserve">) all </w:t>
      </w:r>
      <w:r w:rsidR="00BA74A2">
        <w:rPr>
          <w:rFonts w:cs="Times New Roman"/>
        </w:rPr>
        <w:t>Col-IV</w:t>
      </w:r>
      <w:r>
        <w:rPr>
          <w:rFonts w:cs="Times New Roman"/>
        </w:rPr>
        <w:t xml:space="preserve">+ </w:t>
      </w:r>
      <w:r w:rsidR="00097227">
        <w:rPr>
          <w:rFonts w:cs="Times New Roman"/>
        </w:rPr>
        <w:t>bridges</w:t>
      </w:r>
      <w:r>
        <w:rPr>
          <w:rFonts w:cs="Times New Roman"/>
        </w:rPr>
        <w:t xml:space="preserve"> per field of view (Pearson R value and p value in brackets). (</w:t>
      </w:r>
      <w:r w:rsidR="00D6402C">
        <w:rPr>
          <w:rFonts w:cs="Times New Roman"/>
          <w:b/>
        </w:rPr>
        <w:t>H</w:t>
      </w:r>
      <w:r w:rsidRPr="00CB5B9B">
        <w:rPr>
          <w:rFonts w:cs="Times New Roman"/>
          <w:b/>
        </w:rPr>
        <w:t>,</w:t>
      </w:r>
      <w:r w:rsidR="00D6402C">
        <w:rPr>
          <w:rFonts w:cs="Times New Roman"/>
          <w:b/>
        </w:rPr>
        <w:t xml:space="preserve"> I</w:t>
      </w:r>
      <w:r>
        <w:rPr>
          <w:rFonts w:cs="Times New Roman"/>
        </w:rPr>
        <w:t xml:space="preserve">) Representative images of retinal deep plexus at day </w:t>
      </w:r>
      <w:r w:rsidR="002D3A64">
        <w:rPr>
          <w:rFonts w:cs="Times New Roman"/>
        </w:rPr>
        <w:t>7</w:t>
      </w:r>
      <w:r>
        <w:rPr>
          <w:rFonts w:cs="Times New Roman"/>
        </w:rPr>
        <w:t xml:space="preserve"> post STZ injection from each treatment group, with anti-</w:t>
      </w:r>
      <w:r w:rsidR="00BA74A2">
        <w:rPr>
          <w:rFonts w:cs="Times New Roman"/>
        </w:rPr>
        <w:t>C</w:t>
      </w:r>
      <w:r w:rsidR="000225E3">
        <w:rPr>
          <w:rFonts w:cs="Times New Roman"/>
        </w:rPr>
        <w:t>ol</w:t>
      </w:r>
      <w:r w:rsidR="00BA74A2">
        <w:rPr>
          <w:rFonts w:cs="Times New Roman"/>
        </w:rPr>
        <w:t>-IV</w:t>
      </w:r>
      <w:r>
        <w:rPr>
          <w:rFonts w:cs="Times New Roman"/>
        </w:rPr>
        <w:t xml:space="preserve"> (red), anti-NG2 (green),</w:t>
      </w:r>
      <w:r w:rsidR="00DC02F1">
        <w:rPr>
          <w:rFonts w:cs="Times New Roman"/>
        </w:rPr>
        <w:t xml:space="preserve"> along with</w:t>
      </w:r>
      <w:r>
        <w:rPr>
          <w:rFonts w:cs="Times New Roman"/>
        </w:rPr>
        <w:t xml:space="preserve"> anti-CD31 and anti-CD105 (cyan), with annotated IBCs (star) (scale bar 50 um).</w:t>
      </w:r>
    </w:p>
    <w:p w14:paraId="7A7BCABC" w14:textId="214F4239" w:rsidR="00837701" w:rsidRDefault="00E7699B" w:rsidP="00895477">
      <w:pPr>
        <w:rPr>
          <w:rFonts w:cs="Times New Roman"/>
        </w:rPr>
      </w:pPr>
      <w:r>
        <w:rPr>
          <w:rFonts w:cs="Times New Roman"/>
          <w:noProof/>
        </w:rPr>
        <w:lastRenderedPageBreak/>
        <w:drawing>
          <wp:inline distT="0" distB="0" distL="0" distR="0" wp14:anchorId="78AC3C13" wp14:editId="76B087A1">
            <wp:extent cx="6179920" cy="7120627"/>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de3.TIF"/>
                    <pic:cNvPicPr/>
                  </pic:nvPicPr>
                  <pic:blipFill>
                    <a:blip r:embed="rId6">
                      <a:extLst>
                        <a:ext uri="{28A0092B-C50C-407E-A947-70E740481C1C}">
                          <a14:useLocalDpi xmlns:a14="http://schemas.microsoft.com/office/drawing/2010/main" val="0"/>
                        </a:ext>
                      </a:extLst>
                    </a:blip>
                    <a:stretch>
                      <a:fillRect/>
                    </a:stretch>
                  </pic:blipFill>
                  <pic:spPr bwMode="auto">
                    <a:xfrm>
                      <a:off x="0" y="0"/>
                      <a:ext cx="6179920" cy="7120627"/>
                    </a:xfrm>
                    <a:prstGeom prst="rect">
                      <a:avLst/>
                    </a:prstGeom>
                    <a:ln>
                      <a:noFill/>
                    </a:ln>
                    <a:extLst>
                      <a:ext uri="{53640926-AAD7-44D8-BBD7-CCE9431645EC}">
                        <a14:shadowObscured xmlns:a14="http://schemas.microsoft.com/office/drawing/2010/main"/>
                      </a:ext>
                    </a:extLst>
                  </pic:spPr>
                </pic:pic>
              </a:graphicData>
            </a:graphic>
          </wp:inline>
        </w:drawing>
      </w:r>
    </w:p>
    <w:p w14:paraId="15827D7A" w14:textId="3683EEE0" w:rsidR="00471EC9" w:rsidRDefault="00673CC6" w:rsidP="00492FEC">
      <w:pPr>
        <w:rPr>
          <w:rFonts w:cs="Times New Roman"/>
        </w:rPr>
      </w:pPr>
      <w:r w:rsidRPr="00D45FE9">
        <w:rPr>
          <w:rStyle w:val="Heading2Char"/>
        </w:rPr>
        <w:t>Supplementary Figure 3</w:t>
      </w:r>
      <w:r w:rsidRPr="00D45FE9">
        <w:rPr>
          <w:rFonts w:cs="Times New Roman"/>
        </w:rPr>
        <w:t>:</w:t>
      </w:r>
      <w:r w:rsidRPr="007C2180">
        <w:rPr>
          <w:rFonts w:cs="Times New Roman"/>
        </w:rPr>
        <w:t xml:space="preserve"> </w:t>
      </w:r>
      <w:r>
        <w:rPr>
          <w:rFonts w:cs="Times New Roman"/>
          <w:b/>
        </w:rPr>
        <w:t>Long-term STZ</w:t>
      </w:r>
      <w:r w:rsidRPr="003D1550">
        <w:rPr>
          <w:rFonts w:cs="Times New Roman"/>
          <w:b/>
        </w:rPr>
        <w:t>-induced</w:t>
      </w:r>
      <w:r>
        <w:rPr>
          <w:rFonts w:cs="Times New Roman"/>
          <w:b/>
        </w:rPr>
        <w:t xml:space="preserve"> hyperglycemia</w:t>
      </w:r>
      <w:r w:rsidRPr="003D1550">
        <w:rPr>
          <w:rFonts w:cs="Times New Roman"/>
          <w:b/>
        </w:rPr>
        <w:t xml:space="preserve"> </w:t>
      </w:r>
      <w:r>
        <w:rPr>
          <w:rFonts w:cs="Times New Roman"/>
          <w:b/>
        </w:rPr>
        <w:t>has enriched</w:t>
      </w:r>
      <w:r w:rsidRPr="003D1550">
        <w:rPr>
          <w:rFonts w:cs="Times New Roman"/>
          <w:b/>
        </w:rPr>
        <w:t xml:space="preserve"> </w:t>
      </w:r>
      <w:r>
        <w:rPr>
          <w:rFonts w:cs="Times New Roman"/>
          <w:b/>
        </w:rPr>
        <w:t>pericyte bridge density</w:t>
      </w:r>
      <w:r w:rsidRPr="003D1550">
        <w:rPr>
          <w:rFonts w:cs="Times New Roman"/>
          <w:b/>
        </w:rPr>
        <w:t xml:space="preserve"> normalized with insulin treatment over a static vessel network structure</w:t>
      </w:r>
      <w:r>
        <w:rPr>
          <w:rFonts w:cs="Times New Roman"/>
        </w:rPr>
        <w:t>. (</w:t>
      </w:r>
      <w:r w:rsidRPr="003D1550">
        <w:rPr>
          <w:rFonts w:cs="Times New Roman"/>
          <w:b/>
        </w:rPr>
        <w:t>A</w:t>
      </w:r>
      <w:r>
        <w:rPr>
          <w:rFonts w:cs="Times New Roman"/>
        </w:rPr>
        <w:t xml:space="preserve">) Experiment </w:t>
      </w:r>
      <w:r>
        <w:rPr>
          <w:rFonts w:cs="Times New Roman"/>
        </w:rPr>
        <w:lastRenderedPageBreak/>
        <w:t xml:space="preserve">design. In the deep retinal plexus, quantification of </w:t>
      </w:r>
      <w:r w:rsidR="00471EC9">
        <w:rPr>
          <w:rFonts w:cs="Times New Roman"/>
        </w:rPr>
        <w:t>(</w:t>
      </w:r>
      <w:r w:rsidR="00471EC9" w:rsidRPr="00471EC9">
        <w:rPr>
          <w:rFonts w:cs="Times New Roman"/>
          <w:b/>
          <w:bCs/>
        </w:rPr>
        <w:t>B-G</w:t>
      </w:r>
      <w:r w:rsidR="00471EC9">
        <w:rPr>
          <w:rFonts w:cs="Times New Roman"/>
        </w:rPr>
        <w:t xml:space="preserve">) </w:t>
      </w:r>
      <w:r>
        <w:rPr>
          <w:rFonts w:cs="Times New Roman"/>
        </w:rPr>
        <w:t>pericyte morphology</w:t>
      </w:r>
      <w:r w:rsidR="00471EC9">
        <w:rPr>
          <w:rFonts w:cs="Times New Roman"/>
        </w:rPr>
        <w:t xml:space="preserve"> and vessel architecture (</w:t>
      </w:r>
      <w:r w:rsidR="00471EC9" w:rsidRPr="00471EC9">
        <w:rPr>
          <w:rFonts w:cs="Times New Roman"/>
          <w:b/>
          <w:bCs/>
        </w:rPr>
        <w:t>H-K</w:t>
      </w:r>
      <w:r w:rsidR="00471EC9">
        <w:rPr>
          <w:rFonts w:cs="Times New Roman"/>
        </w:rPr>
        <w:t>) resulted in partial rescue of diabetic perivascular phenotype.</w:t>
      </w:r>
      <w:r w:rsidR="0010282C">
        <w:rPr>
          <w:rFonts w:cs="Times New Roman"/>
        </w:rPr>
        <w:t xml:space="preserve"> </w:t>
      </w:r>
      <w:r w:rsidR="00471EC9">
        <w:rPr>
          <w:rFonts w:cs="Times New Roman"/>
        </w:rPr>
        <w:t>(</w:t>
      </w:r>
      <w:r w:rsidR="00471EC9" w:rsidRPr="003F7B6B">
        <w:rPr>
          <w:rFonts w:cs="Times New Roman"/>
          <w:b/>
          <w:bCs/>
        </w:rPr>
        <w:t>B</w:t>
      </w:r>
      <w:r w:rsidR="00471EC9">
        <w:rPr>
          <w:rFonts w:cs="Times New Roman"/>
        </w:rPr>
        <w:t xml:space="preserve">) The </w:t>
      </w:r>
      <w:r w:rsidR="006C5FAF">
        <w:rPr>
          <w:rFonts w:cs="Times New Roman"/>
        </w:rPr>
        <w:t xml:space="preserve">fraction of NG2+ pericytes that were </w:t>
      </w:r>
      <w:r w:rsidR="00471EC9">
        <w:rPr>
          <w:rFonts w:cs="Times New Roman"/>
        </w:rPr>
        <w:t xml:space="preserve">pericyte bridges </w:t>
      </w:r>
      <w:r w:rsidR="006C5FAF">
        <w:rPr>
          <w:rFonts w:cs="Times New Roman"/>
        </w:rPr>
        <w:t>in</w:t>
      </w:r>
      <w:r w:rsidR="00471EC9">
        <w:rPr>
          <w:rFonts w:cs="Times New Roman"/>
        </w:rPr>
        <w:t xml:space="preserve"> diabetic mice was enriched by 31</w:t>
      </w:r>
      <w:r w:rsidR="00471EC9" w:rsidRPr="00EF5CBF">
        <w:rPr>
          <w:rFonts w:cs="Times New Roman"/>
        </w:rPr>
        <w:t>.</w:t>
      </w:r>
      <w:r w:rsidR="00471EC9">
        <w:rPr>
          <w:rFonts w:cs="Times New Roman"/>
        </w:rPr>
        <w:t>0</w:t>
      </w:r>
      <w:r w:rsidR="00471EC9" w:rsidRPr="00EF5CBF">
        <w:rPr>
          <w:rFonts w:cs="Times New Roman"/>
        </w:rPr>
        <w:t>%</w:t>
      </w:r>
      <w:r w:rsidR="00471EC9">
        <w:rPr>
          <w:rFonts w:cs="Times New Roman"/>
        </w:rPr>
        <w:t>, while (</w:t>
      </w:r>
      <w:r w:rsidR="00471EC9" w:rsidRPr="003F7B6B">
        <w:rPr>
          <w:rFonts w:cs="Times New Roman"/>
          <w:b/>
          <w:bCs/>
        </w:rPr>
        <w:t>C</w:t>
      </w:r>
      <w:r w:rsidR="00471EC9">
        <w:rPr>
          <w:rFonts w:cs="Times New Roman"/>
        </w:rPr>
        <w:t xml:space="preserve">) </w:t>
      </w:r>
      <w:r w:rsidR="00D133C2">
        <w:rPr>
          <w:rFonts w:cs="Times New Roman"/>
        </w:rPr>
        <w:t xml:space="preserve">the fraction of </w:t>
      </w:r>
      <w:r w:rsidR="00471EC9">
        <w:rPr>
          <w:rFonts w:cs="Times New Roman"/>
        </w:rPr>
        <w:t>attached pericyte</w:t>
      </w:r>
      <w:r w:rsidR="00D133C2">
        <w:rPr>
          <w:rFonts w:cs="Times New Roman"/>
        </w:rPr>
        <w:t xml:space="preserve">s </w:t>
      </w:r>
      <w:r w:rsidR="00471EC9">
        <w:rPr>
          <w:rFonts w:cs="Times New Roman"/>
        </w:rPr>
        <w:t>was reduced 7</w:t>
      </w:r>
      <w:r w:rsidR="00471EC9" w:rsidRPr="00EF5CBF">
        <w:rPr>
          <w:rFonts w:cs="Times New Roman"/>
        </w:rPr>
        <w:t>.</w:t>
      </w:r>
      <w:r w:rsidR="00471EC9">
        <w:rPr>
          <w:rFonts w:cs="Times New Roman"/>
        </w:rPr>
        <w:t>3% (1-way ANOVA with Tukey Multiple comparisons,</w:t>
      </w:r>
      <w:r w:rsidR="007908B2">
        <w:rPr>
          <w:rFonts w:cs="Times New Roman"/>
        </w:rPr>
        <w:t xml:space="preserve"> N=9 mice, n=6 images/mouse,</w:t>
      </w:r>
      <w:r w:rsidR="00471EC9">
        <w:rPr>
          <w:rFonts w:cs="Times New Roman"/>
        </w:rPr>
        <w:t xml:space="preserve"> p=2.97E-5). Insulin treatment </w:t>
      </w:r>
      <w:r w:rsidR="00B37A0D">
        <w:rPr>
          <w:rFonts w:cs="Times New Roman"/>
        </w:rPr>
        <w:t>normalized</w:t>
      </w:r>
      <w:r w:rsidR="00471EC9">
        <w:rPr>
          <w:rFonts w:cs="Times New Roman"/>
        </w:rPr>
        <w:t xml:space="preserve"> densities with </w:t>
      </w:r>
      <w:r w:rsidR="007B671F">
        <w:rPr>
          <w:rFonts w:cs="Times New Roman"/>
        </w:rPr>
        <w:t xml:space="preserve">the fraction of </w:t>
      </w:r>
      <w:r w:rsidR="00471EC9">
        <w:rPr>
          <w:rFonts w:cs="Times New Roman"/>
        </w:rPr>
        <w:t>pericyte bridges</w:t>
      </w:r>
      <w:r w:rsidR="004129A5">
        <w:rPr>
          <w:rFonts w:cs="Times New Roman"/>
        </w:rPr>
        <w:t xml:space="preserve"> with a </w:t>
      </w:r>
      <w:r w:rsidR="00471EC9" w:rsidRPr="00EF5CBF">
        <w:rPr>
          <w:rFonts w:cs="Times New Roman"/>
        </w:rPr>
        <w:t>5</w:t>
      </w:r>
      <w:r w:rsidR="00471EC9">
        <w:rPr>
          <w:rFonts w:cs="Times New Roman"/>
        </w:rPr>
        <w:t>7.0</w:t>
      </w:r>
      <w:r w:rsidR="00471EC9" w:rsidRPr="00EF5CBF">
        <w:rPr>
          <w:rFonts w:cs="Times New Roman"/>
        </w:rPr>
        <w:t>%</w:t>
      </w:r>
      <w:r w:rsidR="004129A5">
        <w:rPr>
          <w:rFonts w:cs="Times New Roman"/>
        </w:rPr>
        <w:t xml:space="preserve"> </w:t>
      </w:r>
      <w:r w:rsidR="007B671F">
        <w:rPr>
          <w:rFonts w:cs="Times New Roman"/>
        </w:rPr>
        <w:t>reduction</w:t>
      </w:r>
      <w:r w:rsidR="00471EC9">
        <w:rPr>
          <w:rFonts w:cs="Times New Roman"/>
        </w:rPr>
        <w:t xml:space="preserve"> and </w:t>
      </w:r>
      <w:r w:rsidR="00C04F4F">
        <w:rPr>
          <w:rFonts w:cs="Times New Roman"/>
        </w:rPr>
        <w:t xml:space="preserve">the fraction of </w:t>
      </w:r>
      <w:r w:rsidR="00471EC9">
        <w:rPr>
          <w:rFonts w:cs="Times New Roman"/>
        </w:rPr>
        <w:t>attached pericytes increased 7.9% (p=2.63E-6). (</w:t>
      </w:r>
      <w:r w:rsidR="00471EC9" w:rsidRPr="003F7B6B">
        <w:rPr>
          <w:rFonts w:cs="Times New Roman"/>
          <w:b/>
          <w:bCs/>
        </w:rPr>
        <w:t>D</w:t>
      </w:r>
      <w:r w:rsidR="00471EC9">
        <w:rPr>
          <w:rFonts w:cs="Times New Roman"/>
        </w:rPr>
        <w:t xml:space="preserve">) There was an insignificant elevation in </w:t>
      </w:r>
      <w:r w:rsidR="001919A3">
        <w:rPr>
          <w:rFonts w:cs="Times New Roman"/>
        </w:rPr>
        <w:t xml:space="preserve">the fraction of </w:t>
      </w:r>
      <w:r w:rsidR="00471EC9">
        <w:rPr>
          <w:rFonts w:cs="Times New Roman"/>
        </w:rPr>
        <w:t>basement bridged pericytes in diabetes and insulin treatment. (</w:t>
      </w:r>
      <w:r w:rsidR="00471EC9" w:rsidRPr="003F7B6B">
        <w:rPr>
          <w:rFonts w:cs="Times New Roman"/>
          <w:b/>
          <w:bCs/>
        </w:rPr>
        <w:t>E</w:t>
      </w:r>
      <w:r w:rsidR="00471EC9">
        <w:rPr>
          <w:rFonts w:cs="Times New Roman"/>
        </w:rPr>
        <w:t xml:space="preserve">) No change was observed in total density of all NG2+ pericytes (p=0.465). </w:t>
      </w:r>
      <w:r w:rsidR="003F7B6B">
        <w:rPr>
          <w:rFonts w:cs="Times New Roman"/>
        </w:rPr>
        <w:t>(</w:t>
      </w:r>
      <w:r w:rsidR="003F7B6B" w:rsidRPr="003F7B6B">
        <w:rPr>
          <w:rFonts w:cs="Times New Roman"/>
          <w:b/>
          <w:bCs/>
        </w:rPr>
        <w:t>F-G</w:t>
      </w:r>
      <w:r w:rsidR="003F7B6B">
        <w:rPr>
          <w:rFonts w:cs="Times New Roman"/>
        </w:rPr>
        <w:t xml:space="preserve">) </w:t>
      </w:r>
      <w:r w:rsidR="00471EC9">
        <w:rPr>
          <w:rFonts w:cs="Times New Roman"/>
        </w:rPr>
        <w:t xml:space="preserve">Basement bridges labeled with Col-IV and the NG2 co-labeled subset displayed similar trends as those found with pericyte bridge density across study groups. There was no evidence of angiogenesis or regression, as evidenced by no change to </w:t>
      </w:r>
      <w:r w:rsidR="003F7B6B">
        <w:rPr>
          <w:rFonts w:cs="Times New Roman"/>
        </w:rPr>
        <w:t>(</w:t>
      </w:r>
      <w:r w:rsidR="003F7B6B" w:rsidRPr="003F7B6B">
        <w:rPr>
          <w:rFonts w:cs="Times New Roman"/>
          <w:b/>
          <w:bCs/>
        </w:rPr>
        <w:t>H</w:t>
      </w:r>
      <w:r w:rsidR="003F7B6B">
        <w:rPr>
          <w:rFonts w:cs="Times New Roman"/>
        </w:rPr>
        <w:t xml:space="preserve">) </w:t>
      </w:r>
      <w:r w:rsidR="00471EC9">
        <w:rPr>
          <w:rFonts w:cs="Times New Roman"/>
        </w:rPr>
        <w:t xml:space="preserve">vessel length density (p=0.391), </w:t>
      </w:r>
      <w:r w:rsidR="003F7B6B">
        <w:rPr>
          <w:rFonts w:cs="Times New Roman"/>
        </w:rPr>
        <w:t>(</w:t>
      </w:r>
      <w:r w:rsidR="003F7B6B" w:rsidRPr="003F7B6B">
        <w:rPr>
          <w:rFonts w:cs="Times New Roman"/>
          <w:b/>
          <w:bCs/>
        </w:rPr>
        <w:t>I</w:t>
      </w:r>
      <w:r w:rsidR="003F7B6B">
        <w:rPr>
          <w:rFonts w:cs="Times New Roman"/>
        </w:rPr>
        <w:t xml:space="preserve">) </w:t>
      </w:r>
      <w:r w:rsidR="00471EC9">
        <w:rPr>
          <w:rFonts w:cs="Times New Roman"/>
        </w:rPr>
        <w:t xml:space="preserve">branchpoints per vessel length (p=0.344), </w:t>
      </w:r>
      <w:r w:rsidR="003F7B6B">
        <w:rPr>
          <w:rFonts w:cs="Times New Roman"/>
        </w:rPr>
        <w:t>(</w:t>
      </w:r>
      <w:r w:rsidR="003F7B6B" w:rsidRPr="003F7B6B">
        <w:rPr>
          <w:rFonts w:cs="Times New Roman"/>
          <w:b/>
          <w:bCs/>
        </w:rPr>
        <w:t>J</w:t>
      </w:r>
      <w:r w:rsidR="003F7B6B">
        <w:rPr>
          <w:rFonts w:cs="Times New Roman"/>
        </w:rPr>
        <w:t xml:space="preserve">) </w:t>
      </w:r>
      <w:r w:rsidR="00471EC9">
        <w:rPr>
          <w:rFonts w:cs="Times New Roman"/>
        </w:rPr>
        <w:t>segment tortuosity (p=0.420).</w:t>
      </w:r>
      <w:r w:rsidR="00733EC4" w:rsidRPr="00733EC4">
        <w:rPr>
          <w:rFonts w:cs="Times New Roman"/>
        </w:rPr>
        <w:t xml:space="preserve"> </w:t>
      </w:r>
      <w:r w:rsidR="00733EC4">
        <w:rPr>
          <w:rFonts w:cs="Times New Roman"/>
        </w:rPr>
        <w:t>(</w:t>
      </w:r>
      <w:r w:rsidR="00733EC4" w:rsidRPr="00631873">
        <w:rPr>
          <w:rFonts w:cs="Times New Roman"/>
          <w:b/>
          <w:bCs/>
        </w:rPr>
        <w:t>K</w:t>
      </w:r>
      <w:r w:rsidR="00733EC4">
        <w:rPr>
          <w:rFonts w:cs="Times New Roman"/>
        </w:rPr>
        <w:t>) Blood glucose and (</w:t>
      </w:r>
      <w:r w:rsidR="00733EC4" w:rsidRPr="001A3E14">
        <w:rPr>
          <w:rFonts w:cs="Times New Roman"/>
          <w:b/>
          <w:bCs/>
        </w:rPr>
        <w:t>L</w:t>
      </w:r>
      <w:r w:rsidR="00733EC4">
        <w:rPr>
          <w:rFonts w:cs="Times New Roman"/>
        </w:rPr>
        <w:t>) mouse weight confirmed hyperglycemia for each study group.</w:t>
      </w:r>
      <w:r w:rsidR="00471EC9">
        <w:rPr>
          <w:rFonts w:cs="Times New Roman"/>
        </w:rPr>
        <w:t xml:space="preserve"> In support of perivascular remodeling, the density of </w:t>
      </w:r>
      <w:r w:rsidR="00CA1BB2">
        <w:rPr>
          <w:rFonts w:cs="Times New Roman"/>
        </w:rPr>
        <w:t>(</w:t>
      </w:r>
      <w:r w:rsidR="00CA1BB2">
        <w:rPr>
          <w:rFonts w:cs="Times New Roman"/>
          <w:b/>
          <w:bCs/>
        </w:rPr>
        <w:t>M</w:t>
      </w:r>
      <w:r w:rsidR="00CA1BB2">
        <w:rPr>
          <w:rFonts w:cs="Times New Roman"/>
        </w:rPr>
        <w:t xml:space="preserve">) </w:t>
      </w:r>
      <w:r w:rsidR="00471EC9">
        <w:rPr>
          <w:rFonts w:cs="Times New Roman"/>
        </w:rPr>
        <w:t xml:space="preserve">pericyte bridges, </w:t>
      </w:r>
      <w:r w:rsidR="003F7B6B">
        <w:rPr>
          <w:rFonts w:cs="Times New Roman"/>
        </w:rPr>
        <w:t>(</w:t>
      </w:r>
      <w:r w:rsidR="00631873">
        <w:rPr>
          <w:rFonts w:cs="Times New Roman"/>
          <w:b/>
          <w:bCs/>
        </w:rPr>
        <w:t>N</w:t>
      </w:r>
      <w:r w:rsidR="003F7B6B">
        <w:rPr>
          <w:rFonts w:cs="Times New Roman"/>
        </w:rPr>
        <w:t xml:space="preserve">) </w:t>
      </w:r>
      <w:r w:rsidR="00471EC9">
        <w:rPr>
          <w:rFonts w:cs="Times New Roman"/>
        </w:rPr>
        <w:t>basement</w:t>
      </w:r>
      <w:r w:rsidR="00CA1BB2">
        <w:rPr>
          <w:rFonts w:cs="Times New Roman"/>
        </w:rPr>
        <w:t>-</w:t>
      </w:r>
      <w:r w:rsidR="00471EC9">
        <w:rPr>
          <w:rFonts w:cs="Times New Roman"/>
        </w:rPr>
        <w:t xml:space="preserve">bridged pericytes, and </w:t>
      </w:r>
      <w:r w:rsidR="006E53F0">
        <w:rPr>
          <w:rFonts w:cs="Times New Roman"/>
        </w:rPr>
        <w:t>(</w:t>
      </w:r>
      <w:r w:rsidR="00631873">
        <w:rPr>
          <w:rFonts w:cs="Times New Roman"/>
          <w:b/>
          <w:bCs/>
        </w:rPr>
        <w:t>O</w:t>
      </w:r>
      <w:r w:rsidR="006E53F0" w:rsidRPr="003F7B6B">
        <w:rPr>
          <w:rFonts w:cs="Times New Roman"/>
          <w:b/>
          <w:bCs/>
        </w:rPr>
        <w:t>-</w:t>
      </w:r>
      <w:r w:rsidR="00631873">
        <w:rPr>
          <w:rFonts w:cs="Times New Roman"/>
          <w:b/>
          <w:bCs/>
        </w:rPr>
        <w:t>P</w:t>
      </w:r>
      <w:r w:rsidR="006E53F0">
        <w:rPr>
          <w:rFonts w:cs="Times New Roman"/>
        </w:rPr>
        <w:t xml:space="preserve">) </w:t>
      </w:r>
      <w:r w:rsidR="008720CC">
        <w:rPr>
          <w:rFonts w:cs="Times New Roman"/>
        </w:rPr>
        <w:t>basement membrane</w:t>
      </w:r>
      <w:r w:rsidR="00471EC9">
        <w:rPr>
          <w:rFonts w:cs="Times New Roman"/>
        </w:rPr>
        <w:t xml:space="preserve"> bridges all correlated with blood glucose of each mouse at time of sacrifice</w:t>
      </w:r>
      <w:r w:rsidR="001752FD">
        <w:rPr>
          <w:rFonts w:cs="Times New Roman"/>
        </w:rPr>
        <w:t xml:space="preserve"> (Pearson correlation</w:t>
      </w:r>
      <w:r w:rsidR="00B02FC6">
        <w:rPr>
          <w:rFonts w:cs="Times New Roman"/>
        </w:rPr>
        <w:t xml:space="preserve"> R values and</w:t>
      </w:r>
      <w:r w:rsidR="00B37A0D">
        <w:rPr>
          <w:rFonts w:cs="Times New Roman"/>
        </w:rPr>
        <w:t xml:space="preserve"> </w:t>
      </w:r>
      <w:r w:rsidR="001752FD">
        <w:rPr>
          <w:rFonts w:cs="Times New Roman"/>
        </w:rPr>
        <w:t>p</w:t>
      </w:r>
      <w:r w:rsidR="003714B4">
        <w:rPr>
          <w:rFonts w:cs="Times New Roman"/>
        </w:rPr>
        <w:t>-</w:t>
      </w:r>
      <w:r w:rsidR="001752FD">
        <w:rPr>
          <w:rFonts w:cs="Times New Roman"/>
        </w:rPr>
        <w:t>value</w:t>
      </w:r>
      <w:r w:rsidR="00B02FC6">
        <w:rPr>
          <w:rFonts w:cs="Times New Roman"/>
        </w:rPr>
        <w:t xml:space="preserve"> in brackets</w:t>
      </w:r>
      <w:r w:rsidR="001752FD">
        <w:rPr>
          <w:rFonts w:cs="Times New Roman"/>
        </w:rPr>
        <w:t>)</w:t>
      </w:r>
      <w:r w:rsidR="00471EC9">
        <w:rPr>
          <w:rFonts w:cs="Times New Roman"/>
        </w:rPr>
        <w:t>.</w:t>
      </w:r>
      <w:r w:rsidR="001752FD">
        <w:rPr>
          <w:rFonts w:cs="Times New Roman"/>
        </w:rPr>
        <w:t xml:space="preserve"> </w:t>
      </w:r>
    </w:p>
    <w:p w14:paraId="1B3703D9" w14:textId="6D52A19A" w:rsidR="00673CC6" w:rsidRPr="00D45FE9" w:rsidRDefault="00673CC6" w:rsidP="00673CC6">
      <w:pPr>
        <w:rPr>
          <w:rFonts w:cs="Times New Roman"/>
          <w:vanish/>
          <w:specVanish/>
        </w:rPr>
      </w:pPr>
      <w:r>
        <w:rPr>
          <w:rFonts w:cs="Times New Roman"/>
          <w:noProof/>
        </w:rPr>
        <w:lastRenderedPageBreak/>
        <w:drawing>
          <wp:inline distT="0" distB="0" distL="0" distR="0" wp14:anchorId="6B5DA2ED" wp14:editId="7A6F8F6F">
            <wp:extent cx="6293042" cy="43269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6293042" cy="4326946"/>
                    </a:xfrm>
                    <a:prstGeom prst="rect">
                      <a:avLst/>
                    </a:prstGeom>
                    <a:noFill/>
                    <a:ln>
                      <a:noFill/>
                    </a:ln>
                    <a:extLst>
                      <a:ext uri="{53640926-AAD7-44D8-BBD7-CCE9431645EC}">
                        <a14:shadowObscured xmlns:a14="http://schemas.microsoft.com/office/drawing/2010/main"/>
                      </a:ext>
                    </a:extLst>
                  </pic:spPr>
                </pic:pic>
              </a:graphicData>
            </a:graphic>
          </wp:inline>
        </w:drawing>
      </w:r>
    </w:p>
    <w:p w14:paraId="56CF813C" w14:textId="1A30A235" w:rsidR="00610BDB" w:rsidRPr="00D45FE9" w:rsidRDefault="00D45FE9" w:rsidP="00610BDB">
      <w:pPr>
        <w:rPr>
          <w:rFonts w:cs="Times New Roman"/>
          <w:vanish/>
        </w:rPr>
      </w:pPr>
      <w:r>
        <w:rPr>
          <w:rFonts w:cs="Times New Roman"/>
          <w:b/>
        </w:rPr>
        <w:t xml:space="preserve"> </w:t>
      </w:r>
      <w:r w:rsidR="00673CC6" w:rsidRPr="00952829">
        <w:rPr>
          <w:rFonts w:cs="Times New Roman"/>
          <w:b/>
        </w:rPr>
        <w:t xml:space="preserve">Supplementary Figure </w:t>
      </w:r>
      <w:r w:rsidR="00673CC6">
        <w:rPr>
          <w:rFonts w:cs="Times New Roman"/>
          <w:b/>
        </w:rPr>
        <w:t>4</w:t>
      </w:r>
      <w:r w:rsidR="00673CC6" w:rsidRPr="00952829">
        <w:rPr>
          <w:rFonts w:cs="Times New Roman"/>
          <w:b/>
        </w:rPr>
        <w:t>:</w:t>
      </w:r>
      <w:r w:rsidR="00673CC6" w:rsidRPr="00952829">
        <w:rPr>
          <w:rFonts w:cs="Times New Roman"/>
        </w:rPr>
        <w:t xml:space="preserve"> </w:t>
      </w:r>
      <w:r w:rsidR="003B4E13">
        <w:rPr>
          <w:rFonts w:cs="Times New Roman"/>
          <w:b/>
        </w:rPr>
        <w:t>Representative images of vasculatures subject to</w:t>
      </w:r>
      <w:r w:rsidR="00673CC6">
        <w:rPr>
          <w:rFonts w:cs="Times New Roman"/>
          <w:b/>
        </w:rPr>
        <w:t xml:space="preserve"> long-term hyperglycemia</w:t>
      </w:r>
      <w:r w:rsidR="00673CC6">
        <w:rPr>
          <w:rFonts w:cs="Times New Roman"/>
        </w:rPr>
        <w:t xml:space="preserve">. </w:t>
      </w:r>
      <w:r w:rsidR="00610BDB">
        <w:rPr>
          <w:rFonts w:cs="Times New Roman"/>
        </w:rPr>
        <w:t>(</w:t>
      </w:r>
      <w:r w:rsidR="003B4E13">
        <w:rPr>
          <w:rFonts w:cs="Times New Roman"/>
          <w:b/>
        </w:rPr>
        <w:t>A</w:t>
      </w:r>
      <w:r w:rsidR="00610BDB" w:rsidRPr="003D1550">
        <w:rPr>
          <w:rFonts w:cs="Times New Roman"/>
          <w:b/>
        </w:rPr>
        <w:t>-</w:t>
      </w:r>
      <w:r w:rsidR="003B4E13">
        <w:rPr>
          <w:rFonts w:cs="Times New Roman"/>
          <w:b/>
        </w:rPr>
        <w:t>C</w:t>
      </w:r>
      <w:r w:rsidR="00610BDB">
        <w:rPr>
          <w:rFonts w:cs="Times New Roman"/>
        </w:rPr>
        <w:t>) Representative images of retinal deep plexus at 3.5 months from each treatment group, with anti-COL-IV (red), anti-NG2 (green), along with anti-CD31 and anti-CD105 (cyan), with annotated pericyte bridges (star) (scale bar 50 um).</w:t>
      </w:r>
    </w:p>
    <w:p w14:paraId="719DC677" w14:textId="77777777" w:rsidR="00610BDB" w:rsidRPr="00D45FE9" w:rsidRDefault="00610BDB" w:rsidP="00610BDB">
      <w:pPr>
        <w:rPr>
          <w:rFonts w:cs="Times New Roman"/>
          <w:vanish/>
          <w:specVanish/>
        </w:rPr>
      </w:pPr>
      <w:r>
        <w:rPr>
          <w:rFonts w:cs="Times New Roman"/>
        </w:rPr>
        <w:t xml:space="preserve"> </w:t>
      </w:r>
    </w:p>
    <w:p w14:paraId="5AACAB0A" w14:textId="77777777" w:rsidR="00610BDB" w:rsidRDefault="00610BDB" w:rsidP="00610BDB">
      <w:pPr>
        <w:rPr>
          <w:rFonts w:cs="Times New Roman"/>
          <w:noProof/>
        </w:rPr>
      </w:pPr>
      <w:r>
        <w:rPr>
          <w:rFonts w:cs="Times New Roman"/>
          <w:noProof/>
        </w:rPr>
        <w:t xml:space="preserve"> </w:t>
      </w:r>
    </w:p>
    <w:p w14:paraId="2E63EEE1" w14:textId="0334AFD4" w:rsidR="00673CC6" w:rsidRPr="00D45FE9" w:rsidRDefault="00E7699B" w:rsidP="00895477">
      <w:pPr>
        <w:rPr>
          <w:rFonts w:cs="Times New Roman"/>
          <w:vanish/>
          <w:specVanish/>
        </w:rPr>
      </w:pPr>
      <w:r>
        <w:rPr>
          <w:rFonts w:cs="Times New Roman"/>
          <w:noProof/>
        </w:rPr>
        <w:lastRenderedPageBreak/>
        <w:drawing>
          <wp:inline distT="0" distB="0" distL="0" distR="0" wp14:anchorId="7EB164CD" wp14:editId="07BCA902">
            <wp:extent cx="6107850" cy="5910119"/>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de5.TIF"/>
                    <pic:cNvPicPr/>
                  </pic:nvPicPr>
                  <pic:blipFill>
                    <a:blip r:embed="rId8">
                      <a:extLst>
                        <a:ext uri="{28A0092B-C50C-407E-A947-70E740481C1C}">
                          <a14:useLocalDpi xmlns:a14="http://schemas.microsoft.com/office/drawing/2010/main" val="0"/>
                        </a:ext>
                      </a:extLst>
                    </a:blip>
                    <a:stretch>
                      <a:fillRect/>
                    </a:stretch>
                  </pic:blipFill>
                  <pic:spPr>
                    <a:xfrm>
                      <a:off x="0" y="0"/>
                      <a:ext cx="6107850" cy="5910119"/>
                    </a:xfrm>
                    <a:prstGeom prst="rect">
                      <a:avLst/>
                    </a:prstGeom>
                  </pic:spPr>
                </pic:pic>
              </a:graphicData>
            </a:graphic>
          </wp:inline>
        </w:drawing>
      </w:r>
    </w:p>
    <w:p w14:paraId="0B40EFA8" w14:textId="2DEF026D" w:rsidR="003728C4" w:rsidRPr="00DF3119" w:rsidRDefault="00D45FE9" w:rsidP="003728C4">
      <w:pPr>
        <w:rPr>
          <w:rFonts w:cs="Times New Roman"/>
        </w:rPr>
      </w:pPr>
      <w:r>
        <w:rPr>
          <w:rFonts w:cs="Times New Roman"/>
          <w:b/>
        </w:rPr>
        <w:t xml:space="preserve"> </w:t>
      </w:r>
      <w:r w:rsidR="00673CC6">
        <w:rPr>
          <w:rFonts w:cs="Times New Roman"/>
          <w:b/>
        </w:rPr>
        <w:t xml:space="preserve">Supplementary </w:t>
      </w:r>
      <w:r w:rsidR="00673CC6" w:rsidRPr="007C2180">
        <w:rPr>
          <w:rFonts w:cs="Times New Roman"/>
          <w:b/>
        </w:rPr>
        <w:t xml:space="preserve">Figure </w:t>
      </w:r>
      <w:r w:rsidR="00673CC6">
        <w:rPr>
          <w:rFonts w:cs="Times New Roman"/>
          <w:b/>
        </w:rPr>
        <w:t>5</w:t>
      </w:r>
      <w:r w:rsidR="00673CC6" w:rsidRPr="007C2180">
        <w:rPr>
          <w:rFonts w:cs="Times New Roman"/>
          <w:b/>
        </w:rPr>
        <w:t>:</w:t>
      </w:r>
      <w:r w:rsidR="00673CC6" w:rsidRPr="007C2180">
        <w:rPr>
          <w:rFonts w:cs="Times New Roman"/>
        </w:rPr>
        <w:t xml:space="preserve"> </w:t>
      </w:r>
      <w:r w:rsidR="0016429E" w:rsidRPr="000A624A">
        <w:rPr>
          <w:rFonts w:cs="Times New Roman"/>
          <w:b/>
        </w:rPr>
        <w:t>Akita mice over the long</w:t>
      </w:r>
      <w:r w:rsidR="00ED194B">
        <w:rPr>
          <w:rFonts w:cs="Times New Roman"/>
          <w:b/>
        </w:rPr>
        <w:t>-</w:t>
      </w:r>
      <w:r w:rsidR="0016429E" w:rsidRPr="000A624A">
        <w:rPr>
          <w:rFonts w:cs="Times New Roman"/>
          <w:b/>
        </w:rPr>
        <w:t xml:space="preserve">term (8 months) exhibit enriched </w:t>
      </w:r>
      <w:r w:rsidR="0016429E">
        <w:rPr>
          <w:rFonts w:cs="Times New Roman"/>
          <w:b/>
        </w:rPr>
        <w:t xml:space="preserve">density of pericyte bridges over a morphologically stable </w:t>
      </w:r>
      <w:r w:rsidR="0016429E" w:rsidRPr="000A624A">
        <w:rPr>
          <w:rFonts w:cs="Times New Roman"/>
          <w:b/>
        </w:rPr>
        <w:t>vessel network</w:t>
      </w:r>
      <w:r w:rsidR="0016429E">
        <w:rPr>
          <w:rFonts w:cs="Times New Roman"/>
          <w:b/>
        </w:rPr>
        <w:t xml:space="preserve"> structure with minor remodeling</w:t>
      </w:r>
      <w:r w:rsidR="0016429E">
        <w:rPr>
          <w:rFonts w:cs="Times New Roman"/>
        </w:rPr>
        <w:t xml:space="preserve">. </w:t>
      </w:r>
      <w:r w:rsidR="003728C4">
        <w:rPr>
          <w:rFonts w:cs="Times New Roman"/>
        </w:rPr>
        <w:t>In the Ins2Akita genetic mouse model, (</w:t>
      </w:r>
      <w:r w:rsidR="003728C4" w:rsidRPr="003728C4">
        <w:rPr>
          <w:rFonts w:cs="Times New Roman"/>
          <w:b/>
          <w:bCs/>
        </w:rPr>
        <w:t>A</w:t>
      </w:r>
      <w:r w:rsidR="003728C4">
        <w:rPr>
          <w:rFonts w:cs="Times New Roman"/>
        </w:rPr>
        <w:t xml:space="preserve">) the fraction of NG2+ </w:t>
      </w:r>
      <w:r w:rsidR="00097A86">
        <w:rPr>
          <w:rFonts w:cs="Times New Roman"/>
        </w:rPr>
        <w:t>pericytes</w:t>
      </w:r>
      <w:r w:rsidR="003728C4">
        <w:rPr>
          <w:rFonts w:cs="Times New Roman"/>
        </w:rPr>
        <w:t xml:space="preserve"> </w:t>
      </w:r>
      <w:r w:rsidR="006D6441">
        <w:rPr>
          <w:rFonts w:cs="Times New Roman"/>
        </w:rPr>
        <w:t>that were</w:t>
      </w:r>
      <w:r w:rsidR="003728C4">
        <w:rPr>
          <w:rFonts w:cs="Times New Roman"/>
        </w:rPr>
        <w:t xml:space="preserve"> pericyte bridge</w:t>
      </w:r>
      <w:r w:rsidR="006D6441">
        <w:rPr>
          <w:rFonts w:cs="Times New Roman"/>
        </w:rPr>
        <w:t>s</w:t>
      </w:r>
      <w:r w:rsidR="003728C4">
        <w:rPr>
          <w:rFonts w:cs="Times New Roman"/>
        </w:rPr>
        <w:t xml:space="preserve"> was enriched 32.4% at 8 months compared to genetic background (WT) in tandem with (</w:t>
      </w:r>
      <w:r w:rsidR="003728C4" w:rsidRPr="003728C4">
        <w:rPr>
          <w:rFonts w:cs="Times New Roman"/>
          <w:b/>
          <w:bCs/>
        </w:rPr>
        <w:t>B</w:t>
      </w:r>
      <w:r w:rsidR="003728C4">
        <w:rPr>
          <w:rFonts w:cs="Times New Roman"/>
        </w:rPr>
        <w:t>) an 8.2% decrease in the fraction of NG2+ on-vessel attached pericytes (p=1.97E-3</w:t>
      </w:r>
      <w:r w:rsidR="00F66E89">
        <w:rPr>
          <w:rFonts w:cs="Times New Roman"/>
        </w:rPr>
        <w:t>, unpaired t-test, N=8</w:t>
      </w:r>
      <w:r w:rsidR="00007C65">
        <w:rPr>
          <w:rFonts w:cs="Times New Roman"/>
        </w:rPr>
        <w:t xml:space="preserve"> mice, n=5 images/mouse</w:t>
      </w:r>
      <w:r w:rsidR="00F66E89">
        <w:rPr>
          <w:rFonts w:cs="Times New Roman"/>
        </w:rPr>
        <w:t>, FOV 530 µm</w:t>
      </w:r>
      <w:r w:rsidR="003728C4">
        <w:rPr>
          <w:rFonts w:cs="Times New Roman"/>
        </w:rPr>
        <w:t xml:space="preserve">). </w:t>
      </w:r>
      <w:r w:rsidR="00F6299B">
        <w:rPr>
          <w:rFonts w:cs="Times New Roman"/>
        </w:rPr>
        <w:t>(</w:t>
      </w:r>
      <w:r w:rsidR="00F6299B" w:rsidRPr="00F66E89">
        <w:rPr>
          <w:rFonts w:cs="Times New Roman"/>
          <w:b/>
          <w:bCs/>
        </w:rPr>
        <w:t>C</w:t>
      </w:r>
      <w:r w:rsidR="00F6299B">
        <w:rPr>
          <w:rFonts w:cs="Times New Roman"/>
        </w:rPr>
        <w:t xml:space="preserve">) </w:t>
      </w:r>
      <w:r w:rsidR="003728C4">
        <w:rPr>
          <w:rFonts w:cs="Times New Roman"/>
        </w:rPr>
        <w:t xml:space="preserve">There was a 39.9% increasing trend in the fraction of NG2+ cells </w:t>
      </w:r>
      <w:r w:rsidR="003728C4">
        <w:rPr>
          <w:rFonts w:cs="Times New Roman"/>
        </w:rPr>
        <w:lastRenderedPageBreak/>
        <w:t xml:space="preserve">with basement bridge pericyte phenotype (p=0.0595). </w:t>
      </w:r>
      <w:r w:rsidR="00F6299B">
        <w:rPr>
          <w:rFonts w:cs="Times New Roman"/>
        </w:rPr>
        <w:t>(</w:t>
      </w:r>
      <w:r w:rsidR="00F6299B" w:rsidRPr="00F66E89">
        <w:rPr>
          <w:rFonts w:cs="Times New Roman"/>
          <w:b/>
          <w:bCs/>
        </w:rPr>
        <w:t>D</w:t>
      </w:r>
      <w:r w:rsidR="00F6299B">
        <w:rPr>
          <w:rFonts w:cs="Times New Roman"/>
        </w:rPr>
        <w:t xml:space="preserve">) </w:t>
      </w:r>
      <w:r w:rsidR="003728C4">
        <w:rPr>
          <w:rFonts w:cs="Times New Roman"/>
        </w:rPr>
        <w:t xml:space="preserve">Total NG2+ </w:t>
      </w:r>
      <w:r w:rsidR="00A159C8">
        <w:rPr>
          <w:rFonts w:cs="Times New Roman"/>
        </w:rPr>
        <w:t>pericyte</w:t>
      </w:r>
      <w:r w:rsidR="003728C4">
        <w:rPr>
          <w:rFonts w:cs="Times New Roman"/>
        </w:rPr>
        <w:t xml:space="preserve">s had an enriched trend with a small effect size of 3.6% </w:t>
      </w:r>
      <w:r w:rsidR="00F6299B">
        <w:rPr>
          <w:rFonts w:cs="Times New Roman"/>
        </w:rPr>
        <w:t>(</w:t>
      </w:r>
      <w:r w:rsidR="003728C4">
        <w:rPr>
          <w:rFonts w:cs="Times New Roman"/>
        </w:rPr>
        <w:t xml:space="preserve">p=0.0720). </w:t>
      </w:r>
      <w:r w:rsidR="00F6299B">
        <w:rPr>
          <w:rFonts w:cs="Times New Roman"/>
        </w:rPr>
        <w:t>(</w:t>
      </w:r>
      <w:r w:rsidR="00F6299B" w:rsidRPr="00F6299B">
        <w:rPr>
          <w:rFonts w:cs="Times New Roman"/>
          <w:b/>
          <w:bCs/>
        </w:rPr>
        <w:t>E</w:t>
      </w:r>
      <w:r w:rsidR="00F6299B">
        <w:rPr>
          <w:rFonts w:cs="Times New Roman"/>
        </w:rPr>
        <w:t xml:space="preserve">) </w:t>
      </w:r>
      <w:r w:rsidR="003728C4">
        <w:rPr>
          <w:rFonts w:cs="Times New Roman"/>
        </w:rPr>
        <w:t xml:space="preserve">There was a 34.8% increase in NG2+ basement membrane bridges (p=4.22E-3) and </w:t>
      </w:r>
      <w:r w:rsidR="00F6299B">
        <w:rPr>
          <w:rFonts w:cs="Times New Roman"/>
        </w:rPr>
        <w:t>(</w:t>
      </w:r>
      <w:r w:rsidR="00F6299B" w:rsidRPr="00F6299B">
        <w:rPr>
          <w:rFonts w:cs="Times New Roman"/>
          <w:b/>
          <w:bCs/>
        </w:rPr>
        <w:t>F</w:t>
      </w:r>
      <w:r w:rsidR="00F6299B">
        <w:rPr>
          <w:rFonts w:cs="Times New Roman"/>
        </w:rPr>
        <w:t xml:space="preserve">) </w:t>
      </w:r>
      <w:r w:rsidR="003728C4">
        <w:rPr>
          <w:rFonts w:cs="Times New Roman"/>
        </w:rPr>
        <w:t xml:space="preserve">a 42.6% increase in all Col-IV+ bridges (p=9.89E-5). While there was </w:t>
      </w:r>
      <w:r w:rsidR="004C37E4">
        <w:rPr>
          <w:rFonts w:cs="Times New Roman"/>
        </w:rPr>
        <w:t>(</w:t>
      </w:r>
      <w:r w:rsidR="003A67A2">
        <w:rPr>
          <w:rFonts w:cs="Times New Roman"/>
          <w:b/>
          <w:bCs/>
        </w:rPr>
        <w:t>G</w:t>
      </w:r>
      <w:r w:rsidR="004C37E4">
        <w:rPr>
          <w:rFonts w:cs="Times New Roman"/>
        </w:rPr>
        <w:t xml:space="preserve">) </w:t>
      </w:r>
      <w:r w:rsidR="003728C4">
        <w:rPr>
          <w:rFonts w:cs="Times New Roman"/>
        </w:rPr>
        <w:t xml:space="preserve">a minor 4.9% enriched trend in vessel length density between Akita and WT </w:t>
      </w:r>
      <w:r w:rsidR="004C37E4">
        <w:rPr>
          <w:rFonts w:cs="Times New Roman"/>
        </w:rPr>
        <w:t>(</w:t>
      </w:r>
      <w:r w:rsidR="003728C4" w:rsidRPr="004A32C9">
        <w:rPr>
          <w:rFonts w:cs="Times New Roman"/>
        </w:rPr>
        <w:t>p</w:t>
      </w:r>
      <w:r w:rsidR="003728C4">
        <w:rPr>
          <w:rFonts w:cs="Times New Roman"/>
        </w:rPr>
        <w:t xml:space="preserve">=0.0627), all other metrics characterizing the vasculature showed no change, including </w:t>
      </w:r>
      <w:r w:rsidR="004C37E4">
        <w:rPr>
          <w:rFonts w:cs="Times New Roman"/>
        </w:rPr>
        <w:t>(</w:t>
      </w:r>
      <w:r w:rsidR="003A67A2">
        <w:rPr>
          <w:rFonts w:cs="Times New Roman"/>
          <w:b/>
          <w:bCs/>
        </w:rPr>
        <w:t>H</w:t>
      </w:r>
      <w:r w:rsidR="004C37E4">
        <w:rPr>
          <w:rFonts w:cs="Times New Roman"/>
        </w:rPr>
        <w:t xml:space="preserve">) </w:t>
      </w:r>
      <w:r w:rsidR="003728C4">
        <w:rPr>
          <w:rFonts w:cs="Times New Roman"/>
        </w:rPr>
        <w:t xml:space="preserve">branchpoints normalized to vessel length (p=0.128), </w:t>
      </w:r>
      <w:r w:rsidR="004C37E4">
        <w:rPr>
          <w:rFonts w:cs="Times New Roman"/>
        </w:rPr>
        <w:t>(</w:t>
      </w:r>
      <w:r w:rsidR="003A67A2">
        <w:rPr>
          <w:rFonts w:cs="Times New Roman"/>
          <w:b/>
          <w:bCs/>
        </w:rPr>
        <w:t>I</w:t>
      </w:r>
      <w:r w:rsidR="004C37E4">
        <w:rPr>
          <w:rFonts w:cs="Times New Roman"/>
        </w:rPr>
        <w:t xml:space="preserve">) </w:t>
      </w:r>
      <w:r w:rsidR="003728C4">
        <w:rPr>
          <w:rFonts w:cs="Times New Roman"/>
        </w:rPr>
        <w:t xml:space="preserve">segment tortuosity (p=0.866). </w:t>
      </w:r>
      <w:r w:rsidR="004C37E4">
        <w:rPr>
          <w:rFonts w:cs="Times New Roman"/>
        </w:rPr>
        <w:t>(</w:t>
      </w:r>
      <w:r w:rsidR="003A67A2">
        <w:rPr>
          <w:rFonts w:cs="Times New Roman"/>
          <w:b/>
          <w:bCs/>
        </w:rPr>
        <w:t>J</w:t>
      </w:r>
      <w:r w:rsidR="004C37E4">
        <w:rPr>
          <w:rFonts w:cs="Times New Roman"/>
        </w:rPr>
        <w:t xml:space="preserve">) </w:t>
      </w:r>
      <w:r w:rsidR="003728C4">
        <w:rPr>
          <w:rFonts w:cs="Times New Roman"/>
        </w:rPr>
        <w:t xml:space="preserve">Blood glucose confirmed the diabetic phenotype seen </w:t>
      </w:r>
      <w:r w:rsidR="004C37E4">
        <w:rPr>
          <w:rFonts w:cs="Times New Roman"/>
        </w:rPr>
        <w:t>(</w:t>
      </w:r>
      <w:r w:rsidR="003A67A2">
        <w:rPr>
          <w:rFonts w:cs="Times New Roman"/>
          <w:b/>
          <w:bCs/>
        </w:rPr>
        <w:t>K, L</w:t>
      </w:r>
      <w:r w:rsidR="004C37E4">
        <w:rPr>
          <w:rFonts w:cs="Times New Roman"/>
        </w:rPr>
        <w:t xml:space="preserve">) </w:t>
      </w:r>
      <w:r w:rsidR="003728C4">
        <w:rPr>
          <w:rFonts w:cs="Times New Roman"/>
        </w:rPr>
        <w:t>in representative images provided.</w:t>
      </w:r>
    </w:p>
    <w:p w14:paraId="2C436BED" w14:textId="3BC7F653" w:rsidR="00625C33" w:rsidRPr="00D45FE9" w:rsidRDefault="00625C33" w:rsidP="00625C33">
      <w:pPr>
        <w:rPr>
          <w:rFonts w:cs="Times New Roman"/>
          <w:vanish/>
          <w:specVanish/>
        </w:rPr>
      </w:pPr>
      <w:r>
        <w:rPr>
          <w:rFonts w:cs="Times New Roman"/>
          <w:noProof/>
        </w:rPr>
        <w:lastRenderedPageBreak/>
        <w:drawing>
          <wp:inline distT="0" distB="0" distL="0" distR="0" wp14:anchorId="05E8F014" wp14:editId="6E043021">
            <wp:extent cx="5922841" cy="7086588"/>
            <wp:effectExtent l="0" t="0" r="190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922841" cy="7086588"/>
                    </a:xfrm>
                    <a:prstGeom prst="rect">
                      <a:avLst/>
                    </a:prstGeom>
                    <a:noFill/>
                    <a:ln>
                      <a:noFill/>
                    </a:ln>
                    <a:extLst>
                      <a:ext uri="{53640926-AAD7-44D8-BBD7-CCE9431645EC}">
                        <a14:shadowObscured xmlns:a14="http://schemas.microsoft.com/office/drawing/2010/main"/>
                      </a:ext>
                    </a:extLst>
                  </pic:spPr>
                </pic:pic>
              </a:graphicData>
            </a:graphic>
          </wp:inline>
        </w:drawing>
      </w:r>
    </w:p>
    <w:p w14:paraId="0762A1E7" w14:textId="77777777" w:rsidR="0016429E" w:rsidRDefault="00D45FE9" w:rsidP="00625C33">
      <w:pPr>
        <w:rPr>
          <w:rFonts w:cs="Times New Roman"/>
          <w:b/>
        </w:rPr>
      </w:pPr>
      <w:r>
        <w:rPr>
          <w:rFonts w:cs="Times New Roman"/>
          <w:b/>
        </w:rPr>
        <w:t xml:space="preserve"> </w:t>
      </w:r>
    </w:p>
    <w:p w14:paraId="58066860" w14:textId="5F90F86A" w:rsidR="00391040" w:rsidRPr="00D45FE9" w:rsidRDefault="00625C33" w:rsidP="00391040">
      <w:pPr>
        <w:rPr>
          <w:rFonts w:cs="Times New Roman"/>
          <w:vanish/>
          <w:specVanish/>
        </w:rPr>
      </w:pPr>
      <w:r w:rsidRPr="00952829">
        <w:rPr>
          <w:rFonts w:cs="Times New Roman"/>
          <w:b/>
        </w:rPr>
        <w:t xml:space="preserve">Supplementary Figure </w:t>
      </w:r>
      <w:r>
        <w:rPr>
          <w:rFonts w:cs="Times New Roman"/>
          <w:b/>
        </w:rPr>
        <w:t>6</w:t>
      </w:r>
      <w:r w:rsidRPr="00952829">
        <w:rPr>
          <w:rFonts w:cs="Times New Roman"/>
          <w:b/>
        </w:rPr>
        <w:t>:</w:t>
      </w:r>
      <w:r>
        <w:rPr>
          <w:rFonts w:cs="Times New Roman"/>
          <w:b/>
        </w:rPr>
        <w:t xml:space="preserve"> </w:t>
      </w:r>
      <w:r w:rsidR="0016429E">
        <w:rPr>
          <w:rFonts w:cs="Times New Roman"/>
          <w:b/>
        </w:rPr>
        <w:t>Intravitreal injection of Ang2 exhibits transiently enriched pericyte bridge density</w:t>
      </w:r>
      <w:r w:rsidR="0016429E" w:rsidRPr="003D1550">
        <w:rPr>
          <w:rFonts w:cs="Times New Roman"/>
          <w:b/>
        </w:rPr>
        <w:t xml:space="preserve"> over a </w:t>
      </w:r>
      <w:r w:rsidR="0016429E">
        <w:rPr>
          <w:rFonts w:cs="Times New Roman"/>
          <w:b/>
        </w:rPr>
        <w:t>morphologically static vessel network</w:t>
      </w:r>
      <w:r w:rsidR="0016429E">
        <w:rPr>
          <w:rFonts w:cs="Times New Roman"/>
        </w:rPr>
        <w:t>. (</w:t>
      </w:r>
      <w:r w:rsidR="0016429E" w:rsidRPr="003D1550">
        <w:rPr>
          <w:rFonts w:cs="Times New Roman"/>
          <w:b/>
        </w:rPr>
        <w:t>A</w:t>
      </w:r>
      <w:r w:rsidR="0016429E">
        <w:rPr>
          <w:rFonts w:cs="Times New Roman"/>
        </w:rPr>
        <w:t>) Experiment design quantif</w:t>
      </w:r>
      <w:r w:rsidR="00892861">
        <w:rPr>
          <w:rFonts w:cs="Times New Roman"/>
        </w:rPr>
        <w:t xml:space="preserve">ying </w:t>
      </w:r>
      <w:r w:rsidR="0016429E">
        <w:rPr>
          <w:rFonts w:cs="Times New Roman"/>
        </w:rPr>
        <w:lastRenderedPageBreak/>
        <w:t>pericyte morphology</w:t>
      </w:r>
      <w:r w:rsidR="00892861">
        <w:rPr>
          <w:rFonts w:cs="Times New Roman"/>
        </w:rPr>
        <w:t xml:space="preserve"> in the retinal deep plexus. (B) </w:t>
      </w:r>
      <w:r w:rsidR="006D6441">
        <w:rPr>
          <w:rFonts w:cs="Times New Roman"/>
        </w:rPr>
        <w:t>The fraction of pericytes that were pericyte bridges</w:t>
      </w:r>
      <w:r w:rsidR="00892861">
        <w:rPr>
          <w:rFonts w:cs="Times New Roman"/>
        </w:rPr>
        <w:t xml:space="preserve"> was transiently enriched 33.9% relative to vehicle control and (C) attached pericytes were reduced 8.3% (p=9.72E-3</w:t>
      </w:r>
      <w:r w:rsidR="00D812FE">
        <w:rPr>
          <w:rFonts w:cs="Times New Roman"/>
        </w:rPr>
        <w:t xml:space="preserve">, paired two-sided t-test at each timepoint, N=6 mice, </w:t>
      </w:r>
      <w:r w:rsidR="00685292">
        <w:rPr>
          <w:rFonts w:cs="Times New Roman"/>
        </w:rPr>
        <w:t>n=4 images/mouse</w:t>
      </w:r>
      <w:r w:rsidR="00272699">
        <w:rPr>
          <w:rFonts w:cs="Times New Roman"/>
        </w:rPr>
        <w:t>,</w:t>
      </w:r>
      <w:r w:rsidR="00685292">
        <w:rPr>
          <w:rFonts w:cs="Times New Roman"/>
        </w:rPr>
        <w:t xml:space="preserve"> </w:t>
      </w:r>
      <w:r w:rsidR="00D812FE">
        <w:rPr>
          <w:rFonts w:cs="Times New Roman"/>
        </w:rPr>
        <w:t>530 µm FOV</w:t>
      </w:r>
      <w:r w:rsidR="00892861">
        <w:rPr>
          <w:rFonts w:cs="Times New Roman"/>
        </w:rPr>
        <w:t xml:space="preserve">). At day 28, both pericyte subpopulations recovered to basal levels (p=0.571). (D) Pericytes with a basement bridged phenotype exhibited the same pattern, with </w:t>
      </w:r>
      <w:r w:rsidR="00892861" w:rsidRPr="00BA4ECB">
        <w:rPr>
          <w:rFonts w:cs="Times New Roman"/>
        </w:rPr>
        <w:t>26.</w:t>
      </w:r>
      <w:r w:rsidR="00892861">
        <w:rPr>
          <w:rFonts w:cs="Times New Roman"/>
        </w:rPr>
        <w:t>9</w:t>
      </w:r>
      <w:r w:rsidR="00892861" w:rsidRPr="00BA4ECB">
        <w:rPr>
          <w:rFonts w:cs="Times New Roman"/>
        </w:rPr>
        <w:t>%</w:t>
      </w:r>
      <w:r w:rsidR="00892861">
        <w:rPr>
          <w:rFonts w:cs="Times New Roman"/>
        </w:rPr>
        <w:t xml:space="preserve"> enrichment at day 4 (p=1.88E-3) and restoration at day 28 (p=0.697). (</w:t>
      </w:r>
      <w:r w:rsidR="00892861" w:rsidRPr="00892861">
        <w:rPr>
          <w:rFonts w:cs="Times New Roman"/>
          <w:b/>
          <w:bCs/>
        </w:rPr>
        <w:t>E</w:t>
      </w:r>
      <w:r w:rsidR="00892861">
        <w:rPr>
          <w:rFonts w:cs="Times New Roman"/>
        </w:rPr>
        <w:t xml:space="preserve">) Total NG2-labeled </w:t>
      </w:r>
      <w:r w:rsidR="006D6441">
        <w:rPr>
          <w:rFonts w:cs="Times New Roman"/>
        </w:rPr>
        <w:t>pericyte</w:t>
      </w:r>
      <w:r w:rsidR="00892861">
        <w:rPr>
          <w:rFonts w:cs="Times New Roman"/>
        </w:rPr>
        <w:t xml:space="preserve"> density remained constant both at days 4 (p=0.647) and 28 (p=0.957). (</w:t>
      </w:r>
      <w:r w:rsidR="00892861" w:rsidRPr="00892861">
        <w:rPr>
          <w:rFonts w:cs="Times New Roman"/>
          <w:b/>
          <w:bCs/>
        </w:rPr>
        <w:t>F, G</w:t>
      </w:r>
      <w:r w:rsidR="00892861">
        <w:rPr>
          <w:rFonts w:cs="Times New Roman"/>
        </w:rPr>
        <w:t xml:space="preserve">) Basement membrane bridges labeled with Col-IV and the subset </w:t>
      </w:r>
      <w:proofErr w:type="spellStart"/>
      <w:r w:rsidR="00892861">
        <w:rPr>
          <w:rFonts w:cs="Times New Roman"/>
        </w:rPr>
        <w:t>colabeled</w:t>
      </w:r>
      <w:proofErr w:type="spellEnd"/>
      <w:r w:rsidR="00892861">
        <w:rPr>
          <w:rFonts w:cs="Times New Roman"/>
        </w:rPr>
        <w:t xml:space="preserve"> with NG2 followed similar trends as pericyte bridge density across study groups. No angiogenesis was observed at day 4, with (</w:t>
      </w:r>
      <w:r w:rsidR="00892861" w:rsidRPr="00892861">
        <w:rPr>
          <w:rFonts w:cs="Times New Roman"/>
          <w:b/>
          <w:bCs/>
        </w:rPr>
        <w:t>H</w:t>
      </w:r>
      <w:r w:rsidR="00892861">
        <w:rPr>
          <w:rFonts w:cs="Times New Roman"/>
        </w:rPr>
        <w:t>) vessel length density (p=0.525), (</w:t>
      </w:r>
      <w:r w:rsidR="00892861" w:rsidRPr="00892861">
        <w:rPr>
          <w:rFonts w:cs="Times New Roman"/>
          <w:b/>
          <w:bCs/>
        </w:rPr>
        <w:t>I</w:t>
      </w:r>
      <w:r w:rsidR="00892861">
        <w:rPr>
          <w:rFonts w:cs="Times New Roman"/>
        </w:rPr>
        <w:t>) branchpoints per vessel length (p=0.158), (</w:t>
      </w:r>
      <w:r w:rsidR="00892861" w:rsidRPr="00892861">
        <w:rPr>
          <w:rFonts w:cs="Times New Roman"/>
          <w:b/>
          <w:bCs/>
        </w:rPr>
        <w:t>J</w:t>
      </w:r>
      <w:r w:rsidR="00892861">
        <w:rPr>
          <w:rFonts w:cs="Times New Roman"/>
        </w:rPr>
        <w:t>) segment tortuosity (p=0.225), remaining unchanged. Representative images from (</w:t>
      </w:r>
      <w:r w:rsidR="00CF7D0E">
        <w:rPr>
          <w:rFonts w:cs="Times New Roman"/>
          <w:b/>
          <w:bCs/>
        </w:rPr>
        <w:t>K</w:t>
      </w:r>
      <w:r w:rsidR="00892861" w:rsidRPr="00892861">
        <w:rPr>
          <w:rFonts w:cs="Times New Roman"/>
          <w:b/>
          <w:bCs/>
        </w:rPr>
        <w:t>,</w:t>
      </w:r>
      <w:r w:rsidR="00892861">
        <w:rPr>
          <w:rFonts w:cs="Times New Roman"/>
          <w:b/>
          <w:bCs/>
        </w:rPr>
        <w:t xml:space="preserve"> </w:t>
      </w:r>
      <w:r w:rsidR="00CF7D0E">
        <w:rPr>
          <w:rFonts w:cs="Times New Roman"/>
          <w:b/>
          <w:bCs/>
        </w:rPr>
        <w:t>L</w:t>
      </w:r>
      <w:r w:rsidR="00892861">
        <w:rPr>
          <w:rFonts w:cs="Times New Roman"/>
        </w:rPr>
        <w:t>) day 4 are provided</w:t>
      </w:r>
      <w:r w:rsidR="00391040">
        <w:rPr>
          <w:rFonts w:cs="Times New Roman"/>
        </w:rPr>
        <w:t xml:space="preserve"> with anti-Col-IV (red), anti-NG2 (green), along with anti-CD31 and anti-CD105 (cyan), with annotated pericyte bridges (star) (scale bar 50 um).</w:t>
      </w:r>
    </w:p>
    <w:p w14:paraId="08DF08B0" w14:textId="544EB8C9" w:rsidR="00391040" w:rsidRPr="00D45FE9" w:rsidRDefault="00391040" w:rsidP="00391040">
      <w:pPr>
        <w:rPr>
          <w:rFonts w:cs="Times New Roman"/>
          <w:vanish/>
          <w:specVanish/>
        </w:rPr>
      </w:pPr>
      <w:r>
        <w:rPr>
          <w:rFonts w:cs="Times New Roman"/>
        </w:rPr>
        <w:t xml:space="preserve"> </w:t>
      </w:r>
    </w:p>
    <w:p w14:paraId="2659DA87" w14:textId="3CD52558" w:rsidR="00892861" w:rsidRPr="00CF532E" w:rsidRDefault="00892861" w:rsidP="00892861">
      <w:pPr>
        <w:rPr>
          <w:rFonts w:cs="Times New Roman"/>
        </w:rPr>
      </w:pPr>
    </w:p>
    <w:p w14:paraId="2BA214B0" w14:textId="77777777" w:rsidR="00892861" w:rsidRDefault="00892861" w:rsidP="0016429E">
      <w:pPr>
        <w:rPr>
          <w:rFonts w:cs="Times New Roman"/>
        </w:rPr>
      </w:pPr>
    </w:p>
    <w:p w14:paraId="79F12ED1" w14:textId="77777777" w:rsidR="0016429E" w:rsidRDefault="0016429E" w:rsidP="00625C33">
      <w:pPr>
        <w:rPr>
          <w:rFonts w:cs="Times New Roman"/>
          <w:b/>
        </w:rPr>
      </w:pPr>
    </w:p>
    <w:p w14:paraId="59379D37" w14:textId="2ED73B66" w:rsidR="00895477" w:rsidRPr="00D45FE9" w:rsidRDefault="003256AF" w:rsidP="00895477">
      <w:pPr>
        <w:rPr>
          <w:rFonts w:cs="Times New Roman"/>
          <w:vanish/>
          <w:specVanish/>
        </w:rPr>
      </w:pPr>
      <w:r>
        <w:rPr>
          <w:rFonts w:cs="Times New Roman"/>
        </w:rPr>
        <w:br w:type="page"/>
      </w:r>
      <w:r>
        <w:rPr>
          <w:rFonts w:cs="Times New Roman"/>
          <w:noProof/>
        </w:rPr>
        <w:lastRenderedPageBreak/>
        <w:drawing>
          <wp:inline distT="0" distB="0" distL="0" distR="0" wp14:anchorId="5B68D9E5" wp14:editId="41C589ED">
            <wp:extent cx="6328678" cy="5956978"/>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328678" cy="5956978"/>
                    </a:xfrm>
                    <a:prstGeom prst="rect">
                      <a:avLst/>
                    </a:prstGeom>
                    <a:noFill/>
                    <a:ln>
                      <a:noFill/>
                    </a:ln>
                    <a:extLst>
                      <a:ext uri="{53640926-AAD7-44D8-BBD7-CCE9431645EC}">
                        <a14:shadowObscured xmlns:a14="http://schemas.microsoft.com/office/drawing/2010/main"/>
                      </a:ext>
                    </a:extLst>
                  </pic:spPr>
                </pic:pic>
              </a:graphicData>
            </a:graphic>
          </wp:inline>
        </w:drawing>
      </w:r>
    </w:p>
    <w:p w14:paraId="799EB9B2" w14:textId="08A04278" w:rsidR="0016429E" w:rsidRPr="00D45FE9" w:rsidRDefault="00D45FE9" w:rsidP="0016429E">
      <w:pPr>
        <w:rPr>
          <w:rFonts w:cs="Times New Roman"/>
          <w:vanish/>
          <w:specVanish/>
        </w:rPr>
      </w:pPr>
      <w:r>
        <w:rPr>
          <w:rFonts w:cs="Times New Roman"/>
          <w:b/>
        </w:rPr>
        <w:t xml:space="preserve"> </w:t>
      </w:r>
      <w:r w:rsidR="006D7F1A" w:rsidRPr="000A624A">
        <w:rPr>
          <w:rFonts w:cs="Times New Roman"/>
          <w:b/>
        </w:rPr>
        <w:t xml:space="preserve">Supplementary Figure </w:t>
      </w:r>
      <w:r w:rsidR="00625C33">
        <w:rPr>
          <w:rFonts w:cs="Times New Roman"/>
          <w:b/>
        </w:rPr>
        <w:t>7</w:t>
      </w:r>
      <w:r w:rsidR="006D7F1A" w:rsidRPr="000A624A">
        <w:rPr>
          <w:rFonts w:cs="Times New Roman"/>
          <w:b/>
        </w:rPr>
        <w:t xml:space="preserve">: </w:t>
      </w:r>
      <w:r w:rsidR="0016429E">
        <w:rPr>
          <w:rFonts w:cs="Times New Roman"/>
          <w:b/>
        </w:rPr>
        <w:t xml:space="preserve">Vascular network is normalized 28 days post injection of </w:t>
      </w:r>
      <w:r w:rsidR="00CD778A">
        <w:rPr>
          <w:rFonts w:cs="Times New Roman"/>
          <w:b/>
        </w:rPr>
        <w:t xml:space="preserve">PDGF-BB and </w:t>
      </w:r>
      <w:r w:rsidR="0016429E">
        <w:rPr>
          <w:rFonts w:cs="Times New Roman"/>
          <w:b/>
        </w:rPr>
        <w:t>Ang2.</w:t>
      </w:r>
      <w:r w:rsidR="0016429E">
        <w:rPr>
          <w:rFonts w:cs="Times New Roman"/>
        </w:rPr>
        <w:t xml:space="preserve"> (</w:t>
      </w:r>
      <w:r w:rsidR="0016429E" w:rsidRPr="003C422D">
        <w:rPr>
          <w:rFonts w:cs="Times New Roman"/>
          <w:b/>
        </w:rPr>
        <w:t>A, B</w:t>
      </w:r>
      <w:r w:rsidR="0016429E">
        <w:rPr>
          <w:rFonts w:cs="Times New Roman"/>
        </w:rPr>
        <w:t xml:space="preserve">) representative images from both study groups 28 days after injection of </w:t>
      </w:r>
      <w:r w:rsidR="00CD778A">
        <w:rPr>
          <w:rFonts w:cs="Times New Roman"/>
        </w:rPr>
        <w:t>PDGF-BB</w:t>
      </w:r>
      <w:r w:rsidR="0016429E">
        <w:rPr>
          <w:rFonts w:cs="Times New Roman"/>
        </w:rPr>
        <w:t>, with anti-Col-IV (red), anti-NG2 (green), along with anti-CD105 and anti-CD31 (cyan). (</w:t>
      </w:r>
      <w:r w:rsidR="0016429E" w:rsidRPr="003C422D">
        <w:rPr>
          <w:rFonts w:cs="Times New Roman"/>
          <w:b/>
        </w:rPr>
        <w:t>C, D</w:t>
      </w:r>
      <w:r w:rsidR="0016429E">
        <w:rPr>
          <w:rFonts w:cs="Times New Roman"/>
        </w:rPr>
        <w:t>) representative images from both study groups 28 days after injection of</w:t>
      </w:r>
      <w:r w:rsidR="00CD778A">
        <w:rPr>
          <w:rFonts w:cs="Times New Roman"/>
        </w:rPr>
        <w:t xml:space="preserve"> Ang2</w:t>
      </w:r>
      <w:r w:rsidR="0016429E">
        <w:rPr>
          <w:rFonts w:cs="Times New Roman"/>
        </w:rPr>
        <w:t>, with anti-Col-IV (red), anti-NG2 (green), along with anti-CD105 and anti-CD31 (cyan), with pericyte bridges annotated (star) (scale bar 25 µm).</w:t>
      </w:r>
    </w:p>
    <w:p w14:paraId="36A99BC5" w14:textId="23C9B1A1" w:rsidR="00A06E85" w:rsidRDefault="00A06E85" w:rsidP="005D1C17">
      <w:pPr>
        <w:rPr>
          <w:rFonts w:cs="Times New Roman"/>
        </w:rPr>
      </w:pPr>
    </w:p>
    <w:p w14:paraId="1161F28E" w14:textId="77777777" w:rsidR="00B82091" w:rsidRDefault="00B82091" w:rsidP="00B82091">
      <w:pPr>
        <w:pStyle w:val="Heading1"/>
      </w:pPr>
      <w:r>
        <w:lastRenderedPageBreak/>
        <w:t>Supplementary Tables</w:t>
      </w:r>
    </w:p>
    <w:p w14:paraId="75A2E79B" w14:textId="77777777" w:rsidR="00B82091" w:rsidRDefault="00B82091" w:rsidP="00B82091">
      <w:pPr>
        <w:pStyle w:val="Heading2"/>
      </w:pPr>
      <w:r>
        <w:t>Table 1: Primary Antibodies</w:t>
      </w:r>
    </w:p>
    <w:tbl>
      <w:tblPr>
        <w:tblStyle w:val="TableGrid"/>
        <w:tblW w:w="0" w:type="auto"/>
        <w:tblCellMar>
          <w:left w:w="115" w:type="dxa"/>
          <w:right w:w="115" w:type="dxa"/>
        </w:tblCellMar>
        <w:tblLook w:val="04A0" w:firstRow="1" w:lastRow="0" w:firstColumn="1" w:lastColumn="0" w:noHBand="0" w:noVBand="1"/>
      </w:tblPr>
      <w:tblGrid>
        <w:gridCol w:w="1695"/>
        <w:gridCol w:w="1450"/>
        <w:gridCol w:w="1440"/>
        <w:gridCol w:w="2393"/>
        <w:gridCol w:w="1340"/>
        <w:gridCol w:w="1032"/>
      </w:tblGrid>
      <w:tr w:rsidR="00B82091" w:rsidRPr="00C304B9" w14:paraId="5511DF1A" w14:textId="77777777" w:rsidTr="006C1644">
        <w:trPr>
          <w:trHeight w:val="377"/>
        </w:trPr>
        <w:tc>
          <w:tcPr>
            <w:tcW w:w="1695" w:type="dxa"/>
            <w:vAlign w:val="bottom"/>
          </w:tcPr>
          <w:p w14:paraId="059C2417" w14:textId="77777777" w:rsidR="00B82091" w:rsidRPr="00161675" w:rsidRDefault="00B82091" w:rsidP="006C1644">
            <w:pPr>
              <w:pStyle w:val="TableText"/>
              <w:rPr>
                <w:b/>
                <w:sz w:val="18"/>
                <w:szCs w:val="18"/>
              </w:rPr>
            </w:pPr>
            <w:r w:rsidRPr="00161675">
              <w:rPr>
                <w:b/>
                <w:sz w:val="18"/>
                <w:szCs w:val="18"/>
              </w:rPr>
              <w:t>Target/Name</w:t>
            </w:r>
          </w:p>
        </w:tc>
        <w:tc>
          <w:tcPr>
            <w:tcW w:w="1450" w:type="dxa"/>
            <w:vAlign w:val="bottom"/>
          </w:tcPr>
          <w:p w14:paraId="522146B8" w14:textId="77777777" w:rsidR="00B82091" w:rsidRPr="00161675" w:rsidRDefault="00B82091" w:rsidP="006C1644">
            <w:pPr>
              <w:pStyle w:val="TableText"/>
              <w:rPr>
                <w:b/>
                <w:sz w:val="18"/>
                <w:szCs w:val="18"/>
              </w:rPr>
            </w:pPr>
            <w:proofErr w:type="spellStart"/>
            <w:r w:rsidRPr="00161675">
              <w:rPr>
                <w:b/>
                <w:sz w:val="18"/>
                <w:szCs w:val="18"/>
              </w:rPr>
              <w:t>Imm</w:t>
            </w:r>
            <w:proofErr w:type="spellEnd"/>
            <w:r w:rsidRPr="00161675">
              <w:rPr>
                <w:b/>
                <w:sz w:val="18"/>
                <w:szCs w:val="18"/>
              </w:rPr>
              <w:t>. Species</w:t>
            </w:r>
          </w:p>
        </w:tc>
        <w:tc>
          <w:tcPr>
            <w:tcW w:w="1440" w:type="dxa"/>
            <w:vAlign w:val="bottom"/>
          </w:tcPr>
          <w:p w14:paraId="61A2DBCE" w14:textId="77777777" w:rsidR="00B82091" w:rsidRPr="00161675" w:rsidRDefault="00B82091" w:rsidP="006C1644">
            <w:pPr>
              <w:pStyle w:val="TableText"/>
              <w:rPr>
                <w:b/>
                <w:sz w:val="18"/>
                <w:szCs w:val="18"/>
              </w:rPr>
            </w:pPr>
            <w:r w:rsidRPr="00161675">
              <w:rPr>
                <w:b/>
                <w:sz w:val="18"/>
                <w:szCs w:val="18"/>
              </w:rPr>
              <w:t>Host Species</w:t>
            </w:r>
          </w:p>
        </w:tc>
        <w:tc>
          <w:tcPr>
            <w:tcW w:w="2393" w:type="dxa"/>
            <w:vAlign w:val="bottom"/>
          </w:tcPr>
          <w:p w14:paraId="3FD75B4E" w14:textId="77777777" w:rsidR="00B82091" w:rsidRPr="00161675" w:rsidRDefault="00B82091" w:rsidP="006C1644">
            <w:pPr>
              <w:pStyle w:val="TableText"/>
              <w:rPr>
                <w:b/>
                <w:sz w:val="18"/>
                <w:szCs w:val="18"/>
              </w:rPr>
            </w:pPr>
            <w:r w:rsidRPr="00161675">
              <w:rPr>
                <w:b/>
                <w:sz w:val="18"/>
                <w:szCs w:val="18"/>
              </w:rPr>
              <w:t>Company</w:t>
            </w:r>
          </w:p>
        </w:tc>
        <w:tc>
          <w:tcPr>
            <w:tcW w:w="1340" w:type="dxa"/>
            <w:vAlign w:val="bottom"/>
          </w:tcPr>
          <w:p w14:paraId="43D6A7A3" w14:textId="77777777" w:rsidR="00B82091" w:rsidRPr="00161675" w:rsidRDefault="00B82091" w:rsidP="006C1644">
            <w:pPr>
              <w:pStyle w:val="TableText"/>
              <w:rPr>
                <w:b/>
                <w:sz w:val="18"/>
                <w:szCs w:val="18"/>
              </w:rPr>
            </w:pPr>
            <w:r w:rsidRPr="00161675">
              <w:rPr>
                <w:b/>
                <w:sz w:val="18"/>
                <w:szCs w:val="18"/>
              </w:rPr>
              <w:t>Cat #</w:t>
            </w:r>
          </w:p>
        </w:tc>
        <w:tc>
          <w:tcPr>
            <w:tcW w:w="1032" w:type="dxa"/>
            <w:vAlign w:val="bottom"/>
          </w:tcPr>
          <w:p w14:paraId="1CE9EC10" w14:textId="77777777" w:rsidR="00B82091" w:rsidRPr="00161675" w:rsidRDefault="00B82091" w:rsidP="006C1644">
            <w:pPr>
              <w:pStyle w:val="TableText"/>
              <w:rPr>
                <w:b/>
                <w:sz w:val="18"/>
                <w:szCs w:val="18"/>
              </w:rPr>
            </w:pPr>
            <w:r w:rsidRPr="00161675">
              <w:rPr>
                <w:b/>
                <w:sz w:val="18"/>
                <w:szCs w:val="18"/>
              </w:rPr>
              <w:t>Dilution</w:t>
            </w:r>
          </w:p>
        </w:tc>
      </w:tr>
      <w:tr w:rsidR="00B82091" w:rsidRPr="00C304B9" w14:paraId="3D3DFF67" w14:textId="77777777" w:rsidTr="006C1644">
        <w:tc>
          <w:tcPr>
            <w:tcW w:w="1695" w:type="dxa"/>
          </w:tcPr>
          <w:p w14:paraId="29A8D89D" w14:textId="77777777" w:rsidR="00B82091" w:rsidRPr="00161675" w:rsidRDefault="00B82091" w:rsidP="006C1644">
            <w:pPr>
              <w:pStyle w:val="TableText"/>
              <w:rPr>
                <w:sz w:val="18"/>
                <w:szCs w:val="18"/>
              </w:rPr>
            </w:pPr>
            <w:r w:rsidRPr="00161675">
              <w:rPr>
                <w:sz w:val="18"/>
                <w:szCs w:val="18"/>
              </w:rPr>
              <w:t>Anti-NG2</w:t>
            </w:r>
          </w:p>
        </w:tc>
        <w:tc>
          <w:tcPr>
            <w:tcW w:w="1450" w:type="dxa"/>
          </w:tcPr>
          <w:p w14:paraId="4D8AD5A7" w14:textId="77777777" w:rsidR="00B82091" w:rsidRPr="00161675" w:rsidRDefault="00B82091" w:rsidP="006C1644">
            <w:pPr>
              <w:pStyle w:val="TableText"/>
              <w:rPr>
                <w:color w:val="222222"/>
                <w:spacing w:val="3"/>
                <w:sz w:val="18"/>
                <w:szCs w:val="18"/>
              </w:rPr>
            </w:pPr>
            <w:r w:rsidRPr="00161675">
              <w:rPr>
                <w:color w:val="222222"/>
                <w:spacing w:val="3"/>
                <w:sz w:val="18"/>
                <w:szCs w:val="18"/>
              </w:rPr>
              <w:t>Rat</w:t>
            </w:r>
          </w:p>
        </w:tc>
        <w:tc>
          <w:tcPr>
            <w:tcW w:w="1440" w:type="dxa"/>
          </w:tcPr>
          <w:p w14:paraId="6233409B" w14:textId="77777777" w:rsidR="00B82091" w:rsidRPr="00161675" w:rsidRDefault="00B82091" w:rsidP="006C1644">
            <w:pPr>
              <w:pStyle w:val="TableText"/>
              <w:rPr>
                <w:color w:val="222222"/>
                <w:spacing w:val="3"/>
                <w:sz w:val="18"/>
                <w:szCs w:val="18"/>
              </w:rPr>
            </w:pPr>
            <w:r w:rsidRPr="00161675">
              <w:rPr>
                <w:color w:val="222222"/>
                <w:spacing w:val="3"/>
                <w:sz w:val="18"/>
                <w:szCs w:val="18"/>
              </w:rPr>
              <w:t>Rabbit</w:t>
            </w:r>
          </w:p>
        </w:tc>
        <w:tc>
          <w:tcPr>
            <w:tcW w:w="2393" w:type="dxa"/>
          </w:tcPr>
          <w:p w14:paraId="63426B73" w14:textId="77777777" w:rsidR="00B82091" w:rsidRPr="00161675" w:rsidRDefault="00B82091" w:rsidP="006C1644">
            <w:pPr>
              <w:pStyle w:val="TableText"/>
              <w:rPr>
                <w:sz w:val="18"/>
                <w:szCs w:val="18"/>
              </w:rPr>
            </w:pPr>
            <w:proofErr w:type="spellStart"/>
            <w:r w:rsidRPr="00161675">
              <w:rPr>
                <w:color w:val="222222"/>
                <w:spacing w:val="3"/>
                <w:sz w:val="18"/>
                <w:szCs w:val="18"/>
              </w:rPr>
              <w:t>Millpore</w:t>
            </w:r>
            <w:proofErr w:type="spellEnd"/>
            <w:r w:rsidRPr="00161675">
              <w:rPr>
                <w:color w:val="222222"/>
                <w:spacing w:val="3"/>
                <w:sz w:val="18"/>
                <w:szCs w:val="18"/>
              </w:rPr>
              <w:t>, Darmstadt, Germany</w:t>
            </w:r>
          </w:p>
        </w:tc>
        <w:tc>
          <w:tcPr>
            <w:tcW w:w="1340" w:type="dxa"/>
          </w:tcPr>
          <w:p w14:paraId="0620FF43" w14:textId="77777777" w:rsidR="00B82091" w:rsidRPr="00161675" w:rsidRDefault="00B82091" w:rsidP="006C1644">
            <w:pPr>
              <w:pStyle w:val="TableText"/>
              <w:rPr>
                <w:sz w:val="18"/>
                <w:szCs w:val="18"/>
              </w:rPr>
            </w:pPr>
            <w:r w:rsidRPr="00161675">
              <w:rPr>
                <w:color w:val="222222"/>
                <w:spacing w:val="3"/>
                <w:sz w:val="18"/>
                <w:szCs w:val="18"/>
              </w:rPr>
              <w:t>AB5320</w:t>
            </w:r>
          </w:p>
        </w:tc>
        <w:tc>
          <w:tcPr>
            <w:tcW w:w="1032" w:type="dxa"/>
          </w:tcPr>
          <w:p w14:paraId="3AED50B5" w14:textId="77777777" w:rsidR="00B82091" w:rsidRPr="00161675" w:rsidRDefault="00B82091" w:rsidP="006C1644">
            <w:pPr>
              <w:pStyle w:val="TableText"/>
              <w:rPr>
                <w:sz w:val="18"/>
                <w:szCs w:val="18"/>
              </w:rPr>
            </w:pPr>
            <w:r w:rsidRPr="00161675">
              <w:rPr>
                <w:color w:val="222222"/>
                <w:spacing w:val="3"/>
                <w:sz w:val="18"/>
                <w:szCs w:val="18"/>
              </w:rPr>
              <w:t>1:200</w:t>
            </w:r>
          </w:p>
        </w:tc>
      </w:tr>
      <w:tr w:rsidR="00B82091" w:rsidRPr="00C304B9" w14:paraId="48A90155" w14:textId="77777777" w:rsidTr="006C1644">
        <w:tc>
          <w:tcPr>
            <w:tcW w:w="1695" w:type="dxa"/>
          </w:tcPr>
          <w:p w14:paraId="0E7BEF7B" w14:textId="77777777" w:rsidR="00B82091" w:rsidRPr="00161675" w:rsidRDefault="00B82091" w:rsidP="006C1644">
            <w:pPr>
              <w:pStyle w:val="TableText"/>
              <w:rPr>
                <w:sz w:val="18"/>
                <w:szCs w:val="18"/>
              </w:rPr>
            </w:pPr>
            <w:r w:rsidRPr="00161675">
              <w:rPr>
                <w:color w:val="222222"/>
                <w:spacing w:val="3"/>
                <w:sz w:val="18"/>
                <w:szCs w:val="18"/>
              </w:rPr>
              <w:t>Anti-Collagen-IV</w:t>
            </w:r>
          </w:p>
        </w:tc>
        <w:tc>
          <w:tcPr>
            <w:tcW w:w="1450" w:type="dxa"/>
          </w:tcPr>
          <w:p w14:paraId="439F0C16" w14:textId="77777777" w:rsidR="00B82091" w:rsidRPr="00161675" w:rsidRDefault="00B82091" w:rsidP="006C1644">
            <w:pPr>
              <w:pStyle w:val="TableText"/>
              <w:rPr>
                <w:color w:val="222222"/>
                <w:spacing w:val="3"/>
                <w:sz w:val="18"/>
                <w:szCs w:val="18"/>
              </w:rPr>
            </w:pPr>
            <w:r w:rsidRPr="00161675">
              <w:rPr>
                <w:color w:val="222222"/>
                <w:spacing w:val="3"/>
                <w:sz w:val="18"/>
                <w:szCs w:val="18"/>
              </w:rPr>
              <w:t>Human</w:t>
            </w:r>
          </w:p>
        </w:tc>
        <w:tc>
          <w:tcPr>
            <w:tcW w:w="1440" w:type="dxa"/>
          </w:tcPr>
          <w:p w14:paraId="479F8FFE" w14:textId="77777777" w:rsidR="00B82091" w:rsidRPr="00161675" w:rsidRDefault="00B82091" w:rsidP="006C1644">
            <w:pPr>
              <w:pStyle w:val="TableText"/>
              <w:rPr>
                <w:color w:val="222222"/>
                <w:spacing w:val="3"/>
                <w:sz w:val="18"/>
                <w:szCs w:val="18"/>
              </w:rPr>
            </w:pPr>
            <w:r w:rsidRPr="00161675">
              <w:rPr>
                <w:color w:val="222222"/>
                <w:spacing w:val="3"/>
                <w:sz w:val="18"/>
                <w:szCs w:val="18"/>
              </w:rPr>
              <w:t>Goat</w:t>
            </w:r>
          </w:p>
        </w:tc>
        <w:tc>
          <w:tcPr>
            <w:tcW w:w="2393" w:type="dxa"/>
          </w:tcPr>
          <w:p w14:paraId="4F63E19C" w14:textId="77777777" w:rsidR="00B82091" w:rsidRPr="00161675" w:rsidRDefault="00B82091" w:rsidP="006C1644">
            <w:pPr>
              <w:pStyle w:val="TableText"/>
              <w:rPr>
                <w:sz w:val="18"/>
                <w:szCs w:val="18"/>
              </w:rPr>
            </w:pPr>
            <w:proofErr w:type="spellStart"/>
            <w:r w:rsidRPr="00161675">
              <w:rPr>
                <w:color w:val="222222"/>
                <w:spacing w:val="3"/>
                <w:sz w:val="18"/>
                <w:szCs w:val="18"/>
              </w:rPr>
              <w:t>Bio-rad</w:t>
            </w:r>
            <w:proofErr w:type="spellEnd"/>
            <w:r w:rsidRPr="00161675">
              <w:rPr>
                <w:color w:val="222222"/>
                <w:spacing w:val="3"/>
                <w:sz w:val="18"/>
                <w:szCs w:val="18"/>
              </w:rPr>
              <w:t>, Oxford, UK</w:t>
            </w:r>
          </w:p>
        </w:tc>
        <w:tc>
          <w:tcPr>
            <w:tcW w:w="1340" w:type="dxa"/>
          </w:tcPr>
          <w:p w14:paraId="45D2EB73" w14:textId="77777777" w:rsidR="00B82091" w:rsidRPr="00161675" w:rsidRDefault="00B82091" w:rsidP="006C1644">
            <w:pPr>
              <w:pStyle w:val="TableText"/>
              <w:rPr>
                <w:sz w:val="18"/>
                <w:szCs w:val="18"/>
              </w:rPr>
            </w:pPr>
            <w:r w:rsidRPr="00161675">
              <w:rPr>
                <w:color w:val="222222"/>
                <w:spacing w:val="3"/>
                <w:sz w:val="18"/>
                <w:szCs w:val="18"/>
              </w:rPr>
              <w:t>13400</w:t>
            </w:r>
          </w:p>
        </w:tc>
        <w:tc>
          <w:tcPr>
            <w:tcW w:w="1032" w:type="dxa"/>
          </w:tcPr>
          <w:p w14:paraId="479F6315" w14:textId="77777777" w:rsidR="00B82091" w:rsidRPr="00161675" w:rsidRDefault="00B82091" w:rsidP="006C1644">
            <w:pPr>
              <w:pStyle w:val="TableText"/>
              <w:rPr>
                <w:sz w:val="18"/>
                <w:szCs w:val="18"/>
              </w:rPr>
            </w:pPr>
            <w:r w:rsidRPr="00161675">
              <w:rPr>
                <w:color w:val="222222"/>
                <w:spacing w:val="3"/>
                <w:sz w:val="18"/>
                <w:szCs w:val="18"/>
              </w:rPr>
              <w:t>1:100</w:t>
            </w:r>
          </w:p>
        </w:tc>
      </w:tr>
      <w:tr w:rsidR="00B82091" w:rsidRPr="00C304B9" w14:paraId="6BBF3EF8" w14:textId="77777777" w:rsidTr="006C1644">
        <w:tc>
          <w:tcPr>
            <w:tcW w:w="1695" w:type="dxa"/>
          </w:tcPr>
          <w:p w14:paraId="16A4F884" w14:textId="77777777" w:rsidR="00B82091" w:rsidRPr="00161675" w:rsidRDefault="00B82091" w:rsidP="006C1644">
            <w:pPr>
              <w:pStyle w:val="TableText"/>
              <w:rPr>
                <w:sz w:val="18"/>
                <w:szCs w:val="18"/>
              </w:rPr>
            </w:pPr>
            <w:proofErr w:type="spellStart"/>
            <w:r w:rsidRPr="00161675">
              <w:rPr>
                <w:color w:val="222222"/>
                <w:spacing w:val="3"/>
                <w:sz w:val="18"/>
                <w:szCs w:val="18"/>
              </w:rPr>
              <w:t>Isolectin</w:t>
            </w:r>
            <w:proofErr w:type="spellEnd"/>
            <w:r w:rsidRPr="00161675">
              <w:rPr>
                <w:color w:val="222222"/>
                <w:spacing w:val="3"/>
                <w:sz w:val="18"/>
                <w:szCs w:val="18"/>
              </w:rPr>
              <w:t xml:space="preserve"> GS-IB4 </w:t>
            </w:r>
          </w:p>
        </w:tc>
        <w:tc>
          <w:tcPr>
            <w:tcW w:w="1450" w:type="dxa"/>
          </w:tcPr>
          <w:p w14:paraId="51DEA33D" w14:textId="77777777" w:rsidR="00B82091" w:rsidRPr="00161675" w:rsidRDefault="00B82091" w:rsidP="006C1644">
            <w:pPr>
              <w:pStyle w:val="TableText"/>
              <w:rPr>
                <w:color w:val="222222"/>
                <w:spacing w:val="3"/>
                <w:sz w:val="18"/>
                <w:szCs w:val="18"/>
              </w:rPr>
            </w:pPr>
            <w:r w:rsidRPr="00161675">
              <w:rPr>
                <w:color w:val="222222"/>
                <w:spacing w:val="3"/>
                <w:sz w:val="18"/>
                <w:szCs w:val="18"/>
              </w:rPr>
              <w:t>-</w:t>
            </w:r>
          </w:p>
        </w:tc>
        <w:tc>
          <w:tcPr>
            <w:tcW w:w="1440" w:type="dxa"/>
          </w:tcPr>
          <w:p w14:paraId="65293958" w14:textId="77777777" w:rsidR="00B82091" w:rsidRPr="00161675" w:rsidRDefault="00B82091" w:rsidP="006C1644">
            <w:pPr>
              <w:pStyle w:val="TableText"/>
              <w:rPr>
                <w:color w:val="222222"/>
                <w:spacing w:val="3"/>
                <w:sz w:val="18"/>
                <w:szCs w:val="18"/>
              </w:rPr>
            </w:pPr>
            <w:proofErr w:type="spellStart"/>
            <w:r w:rsidRPr="00161675">
              <w:rPr>
                <w:color w:val="222222"/>
                <w:spacing w:val="3"/>
                <w:sz w:val="18"/>
                <w:szCs w:val="18"/>
              </w:rPr>
              <w:t>Griffonia</w:t>
            </w:r>
            <w:proofErr w:type="spellEnd"/>
            <w:r w:rsidRPr="00161675">
              <w:rPr>
                <w:color w:val="222222"/>
                <w:spacing w:val="3"/>
                <w:sz w:val="18"/>
                <w:szCs w:val="18"/>
              </w:rPr>
              <w:t xml:space="preserve"> </w:t>
            </w:r>
            <w:proofErr w:type="spellStart"/>
            <w:r w:rsidRPr="00161675">
              <w:rPr>
                <w:color w:val="222222"/>
                <w:spacing w:val="3"/>
                <w:sz w:val="18"/>
                <w:szCs w:val="18"/>
              </w:rPr>
              <w:t>simplicifolia</w:t>
            </w:r>
            <w:proofErr w:type="spellEnd"/>
          </w:p>
        </w:tc>
        <w:tc>
          <w:tcPr>
            <w:tcW w:w="2393" w:type="dxa"/>
          </w:tcPr>
          <w:p w14:paraId="7989CB2B" w14:textId="77777777" w:rsidR="00B82091" w:rsidRPr="00161675" w:rsidRDefault="00B82091" w:rsidP="006C1644">
            <w:pPr>
              <w:pStyle w:val="TableText"/>
              <w:rPr>
                <w:sz w:val="18"/>
                <w:szCs w:val="18"/>
              </w:rPr>
            </w:pPr>
            <w:r w:rsidRPr="00161675">
              <w:rPr>
                <w:color w:val="222222"/>
                <w:spacing w:val="3"/>
                <w:sz w:val="18"/>
                <w:szCs w:val="18"/>
              </w:rPr>
              <w:t>Life Technologies, Carlsbad, CA</w:t>
            </w:r>
          </w:p>
        </w:tc>
        <w:tc>
          <w:tcPr>
            <w:tcW w:w="1340" w:type="dxa"/>
          </w:tcPr>
          <w:p w14:paraId="36442789" w14:textId="77777777" w:rsidR="00B82091" w:rsidRPr="00161675" w:rsidRDefault="00B82091" w:rsidP="006C1644">
            <w:pPr>
              <w:pStyle w:val="TableText"/>
              <w:rPr>
                <w:sz w:val="18"/>
                <w:szCs w:val="18"/>
              </w:rPr>
            </w:pPr>
            <w:r w:rsidRPr="00161675">
              <w:rPr>
                <w:color w:val="222222"/>
                <w:spacing w:val="3"/>
                <w:sz w:val="18"/>
                <w:szCs w:val="18"/>
              </w:rPr>
              <w:t>I32450</w:t>
            </w:r>
          </w:p>
        </w:tc>
        <w:tc>
          <w:tcPr>
            <w:tcW w:w="1032" w:type="dxa"/>
          </w:tcPr>
          <w:p w14:paraId="6FAD706F" w14:textId="77777777" w:rsidR="00B82091" w:rsidRPr="00161675" w:rsidRDefault="00B82091" w:rsidP="006C1644">
            <w:pPr>
              <w:pStyle w:val="TableText"/>
              <w:rPr>
                <w:sz w:val="18"/>
                <w:szCs w:val="18"/>
              </w:rPr>
            </w:pPr>
            <w:r w:rsidRPr="00161675">
              <w:rPr>
                <w:color w:val="222222"/>
                <w:spacing w:val="3"/>
                <w:sz w:val="18"/>
                <w:szCs w:val="18"/>
              </w:rPr>
              <w:t>1:150</w:t>
            </w:r>
          </w:p>
        </w:tc>
      </w:tr>
      <w:tr w:rsidR="00B82091" w:rsidRPr="00C304B9" w14:paraId="5BC6BDA2" w14:textId="77777777" w:rsidTr="006C1644">
        <w:tc>
          <w:tcPr>
            <w:tcW w:w="1695" w:type="dxa"/>
          </w:tcPr>
          <w:p w14:paraId="22DF989F" w14:textId="77777777" w:rsidR="00B82091" w:rsidRPr="00161675" w:rsidRDefault="00B82091" w:rsidP="006C1644">
            <w:pPr>
              <w:pStyle w:val="TableText"/>
              <w:rPr>
                <w:sz w:val="18"/>
                <w:szCs w:val="18"/>
              </w:rPr>
            </w:pPr>
            <w:r w:rsidRPr="00161675">
              <w:rPr>
                <w:color w:val="222222"/>
                <w:spacing w:val="3"/>
                <w:sz w:val="18"/>
                <w:szCs w:val="18"/>
              </w:rPr>
              <w:t>DAPI</w:t>
            </w:r>
          </w:p>
        </w:tc>
        <w:tc>
          <w:tcPr>
            <w:tcW w:w="1450" w:type="dxa"/>
          </w:tcPr>
          <w:p w14:paraId="76EECE38" w14:textId="77777777" w:rsidR="00B82091" w:rsidRPr="00161675" w:rsidRDefault="00B82091" w:rsidP="006C1644">
            <w:pPr>
              <w:pStyle w:val="TableText"/>
              <w:rPr>
                <w:color w:val="222222"/>
                <w:spacing w:val="3"/>
                <w:sz w:val="18"/>
                <w:szCs w:val="18"/>
              </w:rPr>
            </w:pPr>
            <w:r w:rsidRPr="00161675">
              <w:rPr>
                <w:color w:val="222222"/>
                <w:spacing w:val="3"/>
                <w:sz w:val="18"/>
                <w:szCs w:val="18"/>
              </w:rPr>
              <w:t>-</w:t>
            </w:r>
          </w:p>
        </w:tc>
        <w:tc>
          <w:tcPr>
            <w:tcW w:w="1440" w:type="dxa"/>
          </w:tcPr>
          <w:p w14:paraId="426A3EF8" w14:textId="77777777" w:rsidR="00B82091" w:rsidRPr="00161675" w:rsidRDefault="00B82091" w:rsidP="006C1644">
            <w:pPr>
              <w:pStyle w:val="TableText"/>
              <w:rPr>
                <w:color w:val="222222"/>
                <w:spacing w:val="3"/>
                <w:sz w:val="18"/>
                <w:szCs w:val="18"/>
              </w:rPr>
            </w:pPr>
            <w:r w:rsidRPr="00161675">
              <w:rPr>
                <w:color w:val="222222"/>
                <w:spacing w:val="3"/>
                <w:sz w:val="18"/>
                <w:szCs w:val="18"/>
              </w:rPr>
              <w:t>-</w:t>
            </w:r>
          </w:p>
        </w:tc>
        <w:tc>
          <w:tcPr>
            <w:tcW w:w="2393" w:type="dxa"/>
          </w:tcPr>
          <w:p w14:paraId="00FE770E" w14:textId="77777777" w:rsidR="00B82091" w:rsidRPr="00161675" w:rsidRDefault="00B82091" w:rsidP="006C1644">
            <w:pPr>
              <w:pStyle w:val="TableText"/>
              <w:rPr>
                <w:sz w:val="18"/>
                <w:szCs w:val="18"/>
              </w:rPr>
            </w:pPr>
            <w:proofErr w:type="spellStart"/>
            <w:r w:rsidRPr="00161675">
              <w:rPr>
                <w:color w:val="222222"/>
                <w:spacing w:val="3"/>
                <w:sz w:val="18"/>
                <w:szCs w:val="18"/>
              </w:rPr>
              <w:t>ThermoFisher</w:t>
            </w:r>
            <w:proofErr w:type="spellEnd"/>
            <w:r w:rsidRPr="00161675">
              <w:rPr>
                <w:color w:val="222222"/>
                <w:spacing w:val="3"/>
                <w:sz w:val="18"/>
                <w:szCs w:val="18"/>
              </w:rPr>
              <w:t xml:space="preserve"> Scientific, Waltham, MA</w:t>
            </w:r>
          </w:p>
        </w:tc>
        <w:tc>
          <w:tcPr>
            <w:tcW w:w="1340" w:type="dxa"/>
          </w:tcPr>
          <w:p w14:paraId="3D2A0816" w14:textId="77777777" w:rsidR="00B82091" w:rsidRPr="00161675" w:rsidRDefault="00B82091" w:rsidP="006C1644">
            <w:pPr>
              <w:pStyle w:val="TableText"/>
              <w:rPr>
                <w:sz w:val="18"/>
                <w:szCs w:val="18"/>
              </w:rPr>
            </w:pPr>
            <w:r w:rsidRPr="00161675">
              <w:rPr>
                <w:color w:val="222222"/>
                <w:spacing w:val="3"/>
                <w:sz w:val="18"/>
                <w:szCs w:val="18"/>
              </w:rPr>
              <w:t>D1306</w:t>
            </w:r>
          </w:p>
        </w:tc>
        <w:tc>
          <w:tcPr>
            <w:tcW w:w="1032" w:type="dxa"/>
          </w:tcPr>
          <w:p w14:paraId="10851015" w14:textId="77777777" w:rsidR="00B82091" w:rsidRPr="00161675" w:rsidRDefault="00B82091" w:rsidP="006C1644">
            <w:pPr>
              <w:pStyle w:val="TableText"/>
              <w:rPr>
                <w:sz w:val="18"/>
                <w:szCs w:val="18"/>
              </w:rPr>
            </w:pPr>
            <w:r w:rsidRPr="00161675">
              <w:rPr>
                <w:color w:val="222222"/>
                <w:spacing w:val="3"/>
                <w:sz w:val="18"/>
                <w:szCs w:val="18"/>
              </w:rPr>
              <w:t>1:500</w:t>
            </w:r>
          </w:p>
        </w:tc>
      </w:tr>
      <w:tr w:rsidR="00B82091" w:rsidRPr="00C304B9" w14:paraId="70C5C64A" w14:textId="77777777" w:rsidTr="006C1644">
        <w:tc>
          <w:tcPr>
            <w:tcW w:w="1695" w:type="dxa"/>
          </w:tcPr>
          <w:p w14:paraId="7265DF0B" w14:textId="77777777" w:rsidR="00B82091" w:rsidRPr="00161675" w:rsidRDefault="00B82091" w:rsidP="006C1644">
            <w:pPr>
              <w:pStyle w:val="TableText"/>
              <w:rPr>
                <w:sz w:val="18"/>
                <w:szCs w:val="18"/>
              </w:rPr>
            </w:pPr>
            <w:r w:rsidRPr="00161675">
              <w:rPr>
                <w:sz w:val="18"/>
                <w:szCs w:val="18"/>
              </w:rPr>
              <w:t>Anti-CD34</w:t>
            </w:r>
          </w:p>
        </w:tc>
        <w:tc>
          <w:tcPr>
            <w:tcW w:w="1450" w:type="dxa"/>
          </w:tcPr>
          <w:p w14:paraId="492A981D" w14:textId="77777777" w:rsidR="00B82091" w:rsidRPr="00161675" w:rsidRDefault="00B82091" w:rsidP="006C1644">
            <w:pPr>
              <w:pStyle w:val="TableText"/>
              <w:rPr>
                <w:sz w:val="18"/>
                <w:szCs w:val="18"/>
              </w:rPr>
            </w:pPr>
            <w:r w:rsidRPr="00161675">
              <w:rPr>
                <w:sz w:val="18"/>
                <w:szCs w:val="18"/>
              </w:rPr>
              <w:t>Mouse</w:t>
            </w:r>
          </w:p>
        </w:tc>
        <w:tc>
          <w:tcPr>
            <w:tcW w:w="1440" w:type="dxa"/>
          </w:tcPr>
          <w:p w14:paraId="021A78C4" w14:textId="77777777" w:rsidR="00B82091" w:rsidRPr="00161675" w:rsidRDefault="00B82091" w:rsidP="006C1644">
            <w:pPr>
              <w:pStyle w:val="TableText"/>
              <w:rPr>
                <w:sz w:val="18"/>
                <w:szCs w:val="18"/>
              </w:rPr>
            </w:pPr>
            <w:r w:rsidRPr="00161675">
              <w:rPr>
                <w:sz w:val="18"/>
                <w:szCs w:val="18"/>
              </w:rPr>
              <w:t>Rat</w:t>
            </w:r>
          </w:p>
        </w:tc>
        <w:tc>
          <w:tcPr>
            <w:tcW w:w="2393" w:type="dxa"/>
          </w:tcPr>
          <w:p w14:paraId="4C979DB7" w14:textId="77777777" w:rsidR="00B82091" w:rsidRPr="00161675" w:rsidRDefault="00B82091" w:rsidP="006C1644">
            <w:pPr>
              <w:pStyle w:val="TableText"/>
              <w:rPr>
                <w:sz w:val="18"/>
                <w:szCs w:val="18"/>
              </w:rPr>
            </w:pPr>
            <w:proofErr w:type="spellStart"/>
            <w:r w:rsidRPr="00161675">
              <w:rPr>
                <w:sz w:val="18"/>
                <w:szCs w:val="18"/>
              </w:rPr>
              <w:t>Biolegend</w:t>
            </w:r>
            <w:proofErr w:type="spellEnd"/>
            <w:r w:rsidRPr="00161675">
              <w:rPr>
                <w:sz w:val="18"/>
                <w:szCs w:val="18"/>
              </w:rPr>
              <w:t>, San Diego, CA</w:t>
            </w:r>
          </w:p>
        </w:tc>
        <w:tc>
          <w:tcPr>
            <w:tcW w:w="1340" w:type="dxa"/>
          </w:tcPr>
          <w:p w14:paraId="6F8A5D42" w14:textId="77777777" w:rsidR="00B82091" w:rsidRPr="00161675" w:rsidRDefault="00B82091" w:rsidP="006C1644">
            <w:pPr>
              <w:pStyle w:val="TableText"/>
              <w:rPr>
                <w:sz w:val="18"/>
                <w:szCs w:val="18"/>
              </w:rPr>
            </w:pPr>
            <w:r w:rsidRPr="00161675">
              <w:rPr>
                <w:sz w:val="18"/>
                <w:szCs w:val="18"/>
              </w:rPr>
              <w:t>119301</w:t>
            </w:r>
          </w:p>
        </w:tc>
        <w:tc>
          <w:tcPr>
            <w:tcW w:w="1032" w:type="dxa"/>
          </w:tcPr>
          <w:p w14:paraId="2A288D69" w14:textId="77777777" w:rsidR="00B82091" w:rsidRPr="00161675" w:rsidRDefault="00B82091" w:rsidP="006C1644">
            <w:pPr>
              <w:pStyle w:val="TableText"/>
              <w:rPr>
                <w:sz w:val="18"/>
                <w:szCs w:val="18"/>
              </w:rPr>
            </w:pPr>
            <w:r w:rsidRPr="00161675">
              <w:rPr>
                <w:sz w:val="18"/>
                <w:szCs w:val="18"/>
              </w:rPr>
              <w:t>1:200</w:t>
            </w:r>
          </w:p>
        </w:tc>
      </w:tr>
      <w:tr w:rsidR="00B82091" w:rsidRPr="00C304B9" w14:paraId="6FE9C1F5" w14:textId="77777777" w:rsidTr="006C1644">
        <w:tc>
          <w:tcPr>
            <w:tcW w:w="1695" w:type="dxa"/>
          </w:tcPr>
          <w:p w14:paraId="6E54FA38" w14:textId="77777777" w:rsidR="00B82091" w:rsidRPr="00161675" w:rsidRDefault="00B82091" w:rsidP="006C1644">
            <w:pPr>
              <w:pStyle w:val="TableText"/>
              <w:rPr>
                <w:sz w:val="18"/>
                <w:szCs w:val="18"/>
              </w:rPr>
            </w:pPr>
            <w:r w:rsidRPr="00161675">
              <w:rPr>
                <w:sz w:val="18"/>
                <w:szCs w:val="18"/>
              </w:rPr>
              <w:t>Anti-CD105</w:t>
            </w:r>
          </w:p>
        </w:tc>
        <w:tc>
          <w:tcPr>
            <w:tcW w:w="1450" w:type="dxa"/>
          </w:tcPr>
          <w:p w14:paraId="4D102191" w14:textId="77777777" w:rsidR="00B82091" w:rsidRPr="00161675" w:rsidRDefault="00B82091" w:rsidP="006C1644">
            <w:pPr>
              <w:pStyle w:val="TableText"/>
              <w:rPr>
                <w:sz w:val="18"/>
                <w:szCs w:val="18"/>
              </w:rPr>
            </w:pPr>
            <w:r w:rsidRPr="00161675">
              <w:rPr>
                <w:sz w:val="18"/>
                <w:szCs w:val="18"/>
              </w:rPr>
              <w:t>Mouse</w:t>
            </w:r>
          </w:p>
        </w:tc>
        <w:tc>
          <w:tcPr>
            <w:tcW w:w="1440" w:type="dxa"/>
          </w:tcPr>
          <w:p w14:paraId="7EE48ED0" w14:textId="77777777" w:rsidR="00B82091" w:rsidRPr="00161675" w:rsidRDefault="00B82091" w:rsidP="006C1644">
            <w:pPr>
              <w:pStyle w:val="TableText"/>
              <w:rPr>
                <w:sz w:val="18"/>
                <w:szCs w:val="18"/>
              </w:rPr>
            </w:pPr>
            <w:r w:rsidRPr="00161675">
              <w:rPr>
                <w:sz w:val="18"/>
                <w:szCs w:val="18"/>
              </w:rPr>
              <w:t>Rat</w:t>
            </w:r>
          </w:p>
        </w:tc>
        <w:tc>
          <w:tcPr>
            <w:tcW w:w="2393" w:type="dxa"/>
          </w:tcPr>
          <w:p w14:paraId="2147CB48" w14:textId="77777777" w:rsidR="00B82091" w:rsidRPr="00161675" w:rsidRDefault="00B82091" w:rsidP="006C1644">
            <w:pPr>
              <w:pStyle w:val="TableText"/>
              <w:rPr>
                <w:sz w:val="18"/>
                <w:szCs w:val="18"/>
              </w:rPr>
            </w:pPr>
            <w:proofErr w:type="spellStart"/>
            <w:r w:rsidRPr="00161675">
              <w:rPr>
                <w:sz w:val="18"/>
                <w:szCs w:val="18"/>
              </w:rPr>
              <w:t>Biolegend</w:t>
            </w:r>
            <w:proofErr w:type="spellEnd"/>
            <w:r w:rsidRPr="00161675">
              <w:rPr>
                <w:sz w:val="18"/>
                <w:szCs w:val="18"/>
              </w:rPr>
              <w:t>, San Diego, CA</w:t>
            </w:r>
          </w:p>
        </w:tc>
        <w:tc>
          <w:tcPr>
            <w:tcW w:w="1340" w:type="dxa"/>
          </w:tcPr>
          <w:p w14:paraId="5A4E5D99" w14:textId="77777777" w:rsidR="00B82091" w:rsidRPr="00161675" w:rsidRDefault="00B82091" w:rsidP="006C1644">
            <w:pPr>
              <w:pStyle w:val="TableText"/>
              <w:rPr>
                <w:sz w:val="18"/>
                <w:szCs w:val="18"/>
              </w:rPr>
            </w:pPr>
            <w:r w:rsidRPr="00161675">
              <w:rPr>
                <w:sz w:val="18"/>
                <w:szCs w:val="18"/>
              </w:rPr>
              <w:t>120402</w:t>
            </w:r>
          </w:p>
        </w:tc>
        <w:tc>
          <w:tcPr>
            <w:tcW w:w="1032" w:type="dxa"/>
          </w:tcPr>
          <w:p w14:paraId="0B69ABA0" w14:textId="77777777" w:rsidR="00B82091" w:rsidRPr="00161675" w:rsidRDefault="00B82091" w:rsidP="006C1644">
            <w:pPr>
              <w:pStyle w:val="TableText"/>
              <w:rPr>
                <w:sz w:val="18"/>
                <w:szCs w:val="18"/>
              </w:rPr>
            </w:pPr>
            <w:r w:rsidRPr="00161675">
              <w:rPr>
                <w:sz w:val="18"/>
                <w:szCs w:val="18"/>
              </w:rPr>
              <w:t>1:200</w:t>
            </w:r>
          </w:p>
        </w:tc>
      </w:tr>
      <w:tr w:rsidR="00B82091" w:rsidRPr="00C304B9" w14:paraId="09306855" w14:textId="77777777" w:rsidTr="006C1644">
        <w:tc>
          <w:tcPr>
            <w:tcW w:w="1695" w:type="dxa"/>
          </w:tcPr>
          <w:p w14:paraId="75C2D3FA" w14:textId="77777777" w:rsidR="00B82091" w:rsidRPr="00161675" w:rsidRDefault="00B82091" w:rsidP="006C1644">
            <w:pPr>
              <w:pStyle w:val="TableText"/>
              <w:rPr>
                <w:sz w:val="18"/>
                <w:szCs w:val="18"/>
              </w:rPr>
            </w:pPr>
            <w:r w:rsidRPr="00161675">
              <w:rPr>
                <w:sz w:val="18"/>
                <w:szCs w:val="18"/>
              </w:rPr>
              <w:t>Anti-</w:t>
            </w:r>
            <w:proofErr w:type="spellStart"/>
            <w:r w:rsidRPr="00161675">
              <w:rPr>
                <w:sz w:val="18"/>
                <w:szCs w:val="18"/>
              </w:rPr>
              <w:t>Laminan</w:t>
            </w:r>
            <w:proofErr w:type="spellEnd"/>
            <w:r w:rsidRPr="00161675">
              <w:rPr>
                <w:sz w:val="18"/>
                <w:szCs w:val="18"/>
              </w:rPr>
              <w:t xml:space="preserve"> [AF488]</w:t>
            </w:r>
          </w:p>
        </w:tc>
        <w:tc>
          <w:tcPr>
            <w:tcW w:w="1450" w:type="dxa"/>
          </w:tcPr>
          <w:p w14:paraId="4E4B2750" w14:textId="77777777" w:rsidR="00B82091" w:rsidRPr="00161675" w:rsidRDefault="00B82091" w:rsidP="006C1644">
            <w:pPr>
              <w:pStyle w:val="TableText"/>
              <w:rPr>
                <w:sz w:val="18"/>
                <w:szCs w:val="18"/>
              </w:rPr>
            </w:pPr>
            <w:r w:rsidRPr="00161675">
              <w:rPr>
                <w:sz w:val="18"/>
                <w:szCs w:val="18"/>
              </w:rPr>
              <w:t>Mouse</w:t>
            </w:r>
          </w:p>
        </w:tc>
        <w:tc>
          <w:tcPr>
            <w:tcW w:w="1440" w:type="dxa"/>
          </w:tcPr>
          <w:p w14:paraId="34300DE4" w14:textId="77777777" w:rsidR="00B82091" w:rsidRPr="00161675" w:rsidRDefault="00B82091" w:rsidP="006C1644">
            <w:pPr>
              <w:pStyle w:val="TableText"/>
              <w:rPr>
                <w:sz w:val="18"/>
                <w:szCs w:val="18"/>
              </w:rPr>
            </w:pPr>
            <w:r w:rsidRPr="00161675">
              <w:rPr>
                <w:sz w:val="18"/>
                <w:szCs w:val="18"/>
              </w:rPr>
              <w:t>Rabbit</w:t>
            </w:r>
          </w:p>
        </w:tc>
        <w:tc>
          <w:tcPr>
            <w:tcW w:w="2393" w:type="dxa"/>
          </w:tcPr>
          <w:p w14:paraId="3291B7E6" w14:textId="77777777" w:rsidR="00B82091" w:rsidRPr="00161675" w:rsidRDefault="00B82091" w:rsidP="006C1644">
            <w:pPr>
              <w:pStyle w:val="TableText"/>
              <w:rPr>
                <w:sz w:val="18"/>
                <w:szCs w:val="18"/>
              </w:rPr>
            </w:pPr>
            <w:r w:rsidRPr="00161675">
              <w:rPr>
                <w:sz w:val="18"/>
                <w:szCs w:val="18"/>
              </w:rPr>
              <w:t>Novus, Saint Charles, MO</w:t>
            </w:r>
          </w:p>
        </w:tc>
        <w:tc>
          <w:tcPr>
            <w:tcW w:w="1340" w:type="dxa"/>
          </w:tcPr>
          <w:p w14:paraId="1B48C4C1" w14:textId="77777777" w:rsidR="00B82091" w:rsidRPr="00161675" w:rsidRDefault="00B82091" w:rsidP="006C1644">
            <w:pPr>
              <w:pStyle w:val="TableText"/>
              <w:rPr>
                <w:sz w:val="18"/>
                <w:szCs w:val="18"/>
              </w:rPr>
            </w:pPr>
            <w:r w:rsidRPr="00161675">
              <w:rPr>
                <w:sz w:val="18"/>
                <w:szCs w:val="18"/>
              </w:rPr>
              <w:t xml:space="preserve"> NB300-144AF488</w:t>
            </w:r>
          </w:p>
        </w:tc>
        <w:tc>
          <w:tcPr>
            <w:tcW w:w="1032" w:type="dxa"/>
          </w:tcPr>
          <w:p w14:paraId="51B0DD8E" w14:textId="77777777" w:rsidR="00B82091" w:rsidRPr="00161675" w:rsidRDefault="00B82091" w:rsidP="006C1644">
            <w:pPr>
              <w:pStyle w:val="TableText"/>
              <w:rPr>
                <w:sz w:val="18"/>
                <w:szCs w:val="18"/>
              </w:rPr>
            </w:pPr>
            <w:r w:rsidRPr="00161675">
              <w:rPr>
                <w:sz w:val="18"/>
                <w:szCs w:val="18"/>
              </w:rPr>
              <w:t>1:100</w:t>
            </w:r>
          </w:p>
        </w:tc>
      </w:tr>
      <w:tr w:rsidR="00B82091" w:rsidRPr="00C304B9" w14:paraId="0189A181" w14:textId="77777777" w:rsidTr="006C1644">
        <w:tc>
          <w:tcPr>
            <w:tcW w:w="1695" w:type="dxa"/>
          </w:tcPr>
          <w:p w14:paraId="211F2CE5" w14:textId="77777777" w:rsidR="00B82091" w:rsidRPr="00161675" w:rsidRDefault="00B82091" w:rsidP="006C1644">
            <w:pPr>
              <w:pStyle w:val="TableText"/>
              <w:rPr>
                <w:sz w:val="18"/>
                <w:szCs w:val="18"/>
              </w:rPr>
            </w:pPr>
            <w:r w:rsidRPr="00161675">
              <w:rPr>
                <w:sz w:val="18"/>
                <w:szCs w:val="18"/>
              </w:rPr>
              <w:t>Anti-Fibronectin</w:t>
            </w:r>
          </w:p>
        </w:tc>
        <w:tc>
          <w:tcPr>
            <w:tcW w:w="1450" w:type="dxa"/>
          </w:tcPr>
          <w:p w14:paraId="440A0084" w14:textId="77777777" w:rsidR="00B82091" w:rsidRPr="00161675" w:rsidRDefault="00B82091" w:rsidP="006C1644">
            <w:pPr>
              <w:pStyle w:val="TableText"/>
              <w:rPr>
                <w:sz w:val="18"/>
                <w:szCs w:val="18"/>
              </w:rPr>
            </w:pPr>
            <w:r w:rsidRPr="00161675">
              <w:rPr>
                <w:sz w:val="18"/>
                <w:szCs w:val="18"/>
              </w:rPr>
              <w:t>Mouse</w:t>
            </w:r>
          </w:p>
        </w:tc>
        <w:tc>
          <w:tcPr>
            <w:tcW w:w="1440" w:type="dxa"/>
          </w:tcPr>
          <w:p w14:paraId="4EC2B20D" w14:textId="77777777" w:rsidR="00B82091" w:rsidRPr="00161675" w:rsidRDefault="00B82091" w:rsidP="006C1644">
            <w:pPr>
              <w:pStyle w:val="TableText"/>
              <w:rPr>
                <w:sz w:val="18"/>
                <w:szCs w:val="18"/>
              </w:rPr>
            </w:pPr>
            <w:r w:rsidRPr="00161675">
              <w:rPr>
                <w:sz w:val="18"/>
                <w:szCs w:val="18"/>
              </w:rPr>
              <w:t>Rabbit</w:t>
            </w:r>
          </w:p>
        </w:tc>
        <w:tc>
          <w:tcPr>
            <w:tcW w:w="2393" w:type="dxa"/>
          </w:tcPr>
          <w:p w14:paraId="1E357E5B" w14:textId="77777777" w:rsidR="00B82091" w:rsidRPr="00161675" w:rsidRDefault="00B82091" w:rsidP="006C1644">
            <w:pPr>
              <w:pStyle w:val="TableText"/>
              <w:rPr>
                <w:sz w:val="18"/>
                <w:szCs w:val="18"/>
              </w:rPr>
            </w:pPr>
            <w:r w:rsidRPr="00161675">
              <w:rPr>
                <w:sz w:val="18"/>
                <w:szCs w:val="18"/>
              </w:rPr>
              <w:t>Abcam, Cambridge, UK</w:t>
            </w:r>
          </w:p>
        </w:tc>
        <w:tc>
          <w:tcPr>
            <w:tcW w:w="1340" w:type="dxa"/>
          </w:tcPr>
          <w:p w14:paraId="053D368A" w14:textId="77777777" w:rsidR="00B82091" w:rsidRPr="00161675" w:rsidRDefault="00B82091" w:rsidP="006C1644">
            <w:pPr>
              <w:pStyle w:val="TableText"/>
              <w:rPr>
                <w:sz w:val="18"/>
                <w:szCs w:val="18"/>
              </w:rPr>
            </w:pPr>
            <w:r w:rsidRPr="00161675">
              <w:rPr>
                <w:sz w:val="18"/>
                <w:szCs w:val="18"/>
              </w:rPr>
              <w:t>AB2033</w:t>
            </w:r>
          </w:p>
        </w:tc>
        <w:tc>
          <w:tcPr>
            <w:tcW w:w="1032" w:type="dxa"/>
          </w:tcPr>
          <w:p w14:paraId="1861F891" w14:textId="77777777" w:rsidR="00B82091" w:rsidRPr="00161675" w:rsidRDefault="00B82091" w:rsidP="006C1644">
            <w:pPr>
              <w:pStyle w:val="TableText"/>
              <w:rPr>
                <w:sz w:val="18"/>
                <w:szCs w:val="18"/>
              </w:rPr>
            </w:pPr>
            <w:r w:rsidRPr="00161675">
              <w:rPr>
                <w:sz w:val="18"/>
                <w:szCs w:val="18"/>
              </w:rPr>
              <w:t>1:200</w:t>
            </w:r>
          </w:p>
        </w:tc>
      </w:tr>
      <w:tr w:rsidR="00B82091" w:rsidRPr="00C304B9" w14:paraId="04C5B2BD" w14:textId="77777777" w:rsidTr="006C1644">
        <w:tc>
          <w:tcPr>
            <w:tcW w:w="1695" w:type="dxa"/>
          </w:tcPr>
          <w:p w14:paraId="180588A3" w14:textId="77777777" w:rsidR="00B82091" w:rsidRPr="00161675" w:rsidRDefault="00B82091" w:rsidP="006C1644">
            <w:pPr>
              <w:pStyle w:val="TableText"/>
              <w:rPr>
                <w:sz w:val="18"/>
                <w:szCs w:val="18"/>
              </w:rPr>
            </w:pPr>
            <w:r w:rsidRPr="00161675">
              <w:rPr>
                <w:sz w:val="18"/>
                <w:szCs w:val="18"/>
              </w:rPr>
              <w:t>Anti-RFP</w:t>
            </w:r>
          </w:p>
        </w:tc>
        <w:tc>
          <w:tcPr>
            <w:tcW w:w="1450" w:type="dxa"/>
          </w:tcPr>
          <w:p w14:paraId="2757A697" w14:textId="77777777" w:rsidR="00B82091" w:rsidRPr="00161675" w:rsidRDefault="00B82091" w:rsidP="006C1644">
            <w:pPr>
              <w:pStyle w:val="TableText"/>
              <w:rPr>
                <w:sz w:val="18"/>
                <w:szCs w:val="18"/>
              </w:rPr>
            </w:pPr>
            <w:r w:rsidRPr="00161675">
              <w:rPr>
                <w:sz w:val="18"/>
                <w:szCs w:val="18"/>
              </w:rPr>
              <w:t>-</w:t>
            </w:r>
          </w:p>
        </w:tc>
        <w:tc>
          <w:tcPr>
            <w:tcW w:w="1440" w:type="dxa"/>
          </w:tcPr>
          <w:p w14:paraId="689EB7DF" w14:textId="77777777" w:rsidR="00B82091" w:rsidRPr="00161675" w:rsidRDefault="00B82091" w:rsidP="006C1644">
            <w:pPr>
              <w:pStyle w:val="TableText"/>
              <w:rPr>
                <w:sz w:val="18"/>
                <w:szCs w:val="18"/>
              </w:rPr>
            </w:pPr>
            <w:r w:rsidRPr="00161675">
              <w:rPr>
                <w:sz w:val="18"/>
                <w:szCs w:val="18"/>
              </w:rPr>
              <w:t>Rabbit</w:t>
            </w:r>
          </w:p>
        </w:tc>
        <w:tc>
          <w:tcPr>
            <w:tcW w:w="2393" w:type="dxa"/>
          </w:tcPr>
          <w:p w14:paraId="2C00D35F" w14:textId="77777777" w:rsidR="00B82091" w:rsidRPr="00161675" w:rsidRDefault="00B82091" w:rsidP="006C1644">
            <w:pPr>
              <w:pStyle w:val="TableText"/>
              <w:rPr>
                <w:sz w:val="18"/>
                <w:szCs w:val="18"/>
              </w:rPr>
            </w:pPr>
            <w:r w:rsidRPr="00161675">
              <w:rPr>
                <w:sz w:val="18"/>
                <w:szCs w:val="18"/>
              </w:rPr>
              <w:t>Abcam, Cambridge, UK</w:t>
            </w:r>
          </w:p>
        </w:tc>
        <w:tc>
          <w:tcPr>
            <w:tcW w:w="1340" w:type="dxa"/>
          </w:tcPr>
          <w:p w14:paraId="36B9AE24" w14:textId="77777777" w:rsidR="00B82091" w:rsidRPr="00161675" w:rsidRDefault="00B82091" w:rsidP="006C1644">
            <w:pPr>
              <w:pStyle w:val="TableText"/>
              <w:rPr>
                <w:sz w:val="18"/>
                <w:szCs w:val="18"/>
              </w:rPr>
            </w:pPr>
            <w:r w:rsidRPr="00161675">
              <w:rPr>
                <w:sz w:val="18"/>
                <w:szCs w:val="18"/>
              </w:rPr>
              <w:t>AB62341</w:t>
            </w:r>
          </w:p>
        </w:tc>
        <w:tc>
          <w:tcPr>
            <w:tcW w:w="1032" w:type="dxa"/>
          </w:tcPr>
          <w:p w14:paraId="0C5A71A0" w14:textId="77777777" w:rsidR="00B82091" w:rsidRPr="00161675" w:rsidRDefault="00B82091" w:rsidP="006C1644">
            <w:pPr>
              <w:pStyle w:val="TableText"/>
              <w:rPr>
                <w:sz w:val="18"/>
                <w:szCs w:val="18"/>
              </w:rPr>
            </w:pPr>
            <w:r w:rsidRPr="00161675">
              <w:rPr>
                <w:sz w:val="18"/>
                <w:szCs w:val="18"/>
              </w:rPr>
              <w:t>1:200</w:t>
            </w:r>
          </w:p>
        </w:tc>
      </w:tr>
      <w:tr w:rsidR="00B82091" w:rsidRPr="00C304B9" w14:paraId="7052F4FB" w14:textId="77777777" w:rsidTr="006C1644">
        <w:tc>
          <w:tcPr>
            <w:tcW w:w="1695" w:type="dxa"/>
          </w:tcPr>
          <w:p w14:paraId="2F66A533" w14:textId="77777777" w:rsidR="00B82091" w:rsidRPr="00161675" w:rsidRDefault="00B82091" w:rsidP="006C1644">
            <w:pPr>
              <w:pStyle w:val="TableText"/>
              <w:rPr>
                <w:sz w:val="18"/>
                <w:szCs w:val="18"/>
              </w:rPr>
            </w:pPr>
            <w:r w:rsidRPr="00161675">
              <w:rPr>
                <w:sz w:val="18"/>
                <w:szCs w:val="18"/>
              </w:rPr>
              <w:t>Anti-CD31</w:t>
            </w:r>
          </w:p>
        </w:tc>
        <w:tc>
          <w:tcPr>
            <w:tcW w:w="1450" w:type="dxa"/>
          </w:tcPr>
          <w:p w14:paraId="0FDC5346" w14:textId="77777777" w:rsidR="00B82091" w:rsidRPr="00161675" w:rsidRDefault="00B82091" w:rsidP="006C1644">
            <w:pPr>
              <w:pStyle w:val="TableText"/>
              <w:rPr>
                <w:sz w:val="18"/>
                <w:szCs w:val="18"/>
              </w:rPr>
            </w:pPr>
            <w:r w:rsidRPr="00161675">
              <w:rPr>
                <w:sz w:val="18"/>
                <w:szCs w:val="18"/>
              </w:rPr>
              <w:t>Human</w:t>
            </w:r>
          </w:p>
        </w:tc>
        <w:tc>
          <w:tcPr>
            <w:tcW w:w="1440" w:type="dxa"/>
          </w:tcPr>
          <w:p w14:paraId="12734B52" w14:textId="77777777" w:rsidR="00B82091" w:rsidRPr="00161675" w:rsidRDefault="00B82091" w:rsidP="006C1644">
            <w:pPr>
              <w:pStyle w:val="TableText"/>
              <w:rPr>
                <w:sz w:val="18"/>
                <w:szCs w:val="18"/>
              </w:rPr>
            </w:pPr>
            <w:r w:rsidRPr="00161675">
              <w:rPr>
                <w:sz w:val="18"/>
                <w:szCs w:val="18"/>
              </w:rPr>
              <w:t>Mouse</w:t>
            </w:r>
          </w:p>
        </w:tc>
        <w:tc>
          <w:tcPr>
            <w:tcW w:w="2393" w:type="dxa"/>
          </w:tcPr>
          <w:p w14:paraId="6C1D46AD" w14:textId="77777777" w:rsidR="00B82091" w:rsidRPr="00161675" w:rsidRDefault="00B82091" w:rsidP="006C1644">
            <w:pPr>
              <w:pStyle w:val="TableText"/>
              <w:rPr>
                <w:sz w:val="18"/>
                <w:szCs w:val="18"/>
              </w:rPr>
            </w:pPr>
            <w:proofErr w:type="spellStart"/>
            <w:r w:rsidRPr="00161675">
              <w:rPr>
                <w:sz w:val="18"/>
                <w:szCs w:val="18"/>
              </w:rPr>
              <w:t>Biolegend</w:t>
            </w:r>
            <w:proofErr w:type="spellEnd"/>
            <w:r w:rsidRPr="00161675">
              <w:rPr>
                <w:sz w:val="18"/>
                <w:szCs w:val="18"/>
              </w:rPr>
              <w:t>, San Diego, CA</w:t>
            </w:r>
          </w:p>
        </w:tc>
        <w:tc>
          <w:tcPr>
            <w:tcW w:w="1340" w:type="dxa"/>
          </w:tcPr>
          <w:p w14:paraId="3A2D5C66" w14:textId="77777777" w:rsidR="00B82091" w:rsidRPr="00161675" w:rsidRDefault="00B82091" w:rsidP="006C1644">
            <w:pPr>
              <w:pStyle w:val="TableText"/>
              <w:rPr>
                <w:sz w:val="18"/>
                <w:szCs w:val="18"/>
              </w:rPr>
            </w:pPr>
            <w:r w:rsidRPr="00161675">
              <w:rPr>
                <w:sz w:val="18"/>
                <w:szCs w:val="18"/>
              </w:rPr>
              <w:t>910005</w:t>
            </w:r>
          </w:p>
        </w:tc>
        <w:tc>
          <w:tcPr>
            <w:tcW w:w="1032" w:type="dxa"/>
          </w:tcPr>
          <w:p w14:paraId="793E9123" w14:textId="77777777" w:rsidR="00B82091" w:rsidRPr="00161675" w:rsidRDefault="00B82091" w:rsidP="006C1644">
            <w:pPr>
              <w:pStyle w:val="TableText"/>
              <w:rPr>
                <w:sz w:val="18"/>
                <w:szCs w:val="18"/>
              </w:rPr>
            </w:pPr>
            <w:r w:rsidRPr="00161675">
              <w:rPr>
                <w:sz w:val="18"/>
                <w:szCs w:val="18"/>
              </w:rPr>
              <w:t>1:200</w:t>
            </w:r>
          </w:p>
        </w:tc>
      </w:tr>
      <w:tr w:rsidR="00B82091" w:rsidRPr="00C304B9" w14:paraId="0972ABC5" w14:textId="77777777" w:rsidTr="006C1644">
        <w:tc>
          <w:tcPr>
            <w:tcW w:w="1695" w:type="dxa"/>
          </w:tcPr>
          <w:p w14:paraId="398D3865" w14:textId="77777777" w:rsidR="00B82091" w:rsidRPr="00161675" w:rsidRDefault="00B82091" w:rsidP="006C1644">
            <w:pPr>
              <w:pStyle w:val="TableText"/>
              <w:rPr>
                <w:sz w:val="18"/>
                <w:szCs w:val="18"/>
              </w:rPr>
            </w:pPr>
            <w:r w:rsidRPr="00161675">
              <w:rPr>
                <w:sz w:val="18"/>
                <w:szCs w:val="18"/>
              </w:rPr>
              <w:t>Anti-CD31</w:t>
            </w:r>
          </w:p>
        </w:tc>
        <w:tc>
          <w:tcPr>
            <w:tcW w:w="1450" w:type="dxa"/>
          </w:tcPr>
          <w:p w14:paraId="79B9543A" w14:textId="77777777" w:rsidR="00B82091" w:rsidRPr="00161675" w:rsidRDefault="00B82091" w:rsidP="006C1644">
            <w:pPr>
              <w:pStyle w:val="TableText"/>
              <w:rPr>
                <w:sz w:val="18"/>
                <w:szCs w:val="18"/>
              </w:rPr>
            </w:pPr>
            <w:r w:rsidRPr="00161675">
              <w:rPr>
                <w:sz w:val="18"/>
                <w:szCs w:val="18"/>
              </w:rPr>
              <w:t>Mouse</w:t>
            </w:r>
          </w:p>
        </w:tc>
        <w:tc>
          <w:tcPr>
            <w:tcW w:w="1440" w:type="dxa"/>
          </w:tcPr>
          <w:p w14:paraId="55E13798" w14:textId="77777777" w:rsidR="00B82091" w:rsidRPr="00161675" w:rsidRDefault="00B82091" w:rsidP="006C1644">
            <w:pPr>
              <w:pStyle w:val="TableText"/>
              <w:rPr>
                <w:sz w:val="18"/>
                <w:szCs w:val="18"/>
              </w:rPr>
            </w:pPr>
            <w:r w:rsidRPr="00161675">
              <w:rPr>
                <w:sz w:val="18"/>
                <w:szCs w:val="18"/>
              </w:rPr>
              <w:t>Rat</w:t>
            </w:r>
          </w:p>
        </w:tc>
        <w:tc>
          <w:tcPr>
            <w:tcW w:w="2393" w:type="dxa"/>
          </w:tcPr>
          <w:p w14:paraId="3C1EAC3E" w14:textId="77777777" w:rsidR="00B82091" w:rsidRPr="00161675" w:rsidRDefault="00B82091" w:rsidP="006C1644">
            <w:pPr>
              <w:pStyle w:val="TableText"/>
              <w:rPr>
                <w:sz w:val="18"/>
                <w:szCs w:val="18"/>
              </w:rPr>
            </w:pPr>
            <w:proofErr w:type="spellStart"/>
            <w:r w:rsidRPr="00161675">
              <w:rPr>
                <w:sz w:val="18"/>
                <w:szCs w:val="18"/>
              </w:rPr>
              <w:t>Biolegend</w:t>
            </w:r>
            <w:proofErr w:type="spellEnd"/>
            <w:r w:rsidRPr="00161675">
              <w:rPr>
                <w:sz w:val="18"/>
                <w:szCs w:val="18"/>
              </w:rPr>
              <w:t>, San Diego, CA</w:t>
            </w:r>
          </w:p>
        </w:tc>
        <w:tc>
          <w:tcPr>
            <w:tcW w:w="1340" w:type="dxa"/>
          </w:tcPr>
          <w:p w14:paraId="7FC2A12F" w14:textId="77777777" w:rsidR="00B82091" w:rsidRPr="00161675" w:rsidRDefault="00B82091" w:rsidP="006C1644">
            <w:pPr>
              <w:pStyle w:val="TableText"/>
              <w:rPr>
                <w:sz w:val="18"/>
                <w:szCs w:val="18"/>
              </w:rPr>
            </w:pPr>
            <w:r w:rsidRPr="00161675">
              <w:rPr>
                <w:sz w:val="18"/>
                <w:szCs w:val="18"/>
              </w:rPr>
              <w:t>102504</w:t>
            </w:r>
          </w:p>
        </w:tc>
        <w:tc>
          <w:tcPr>
            <w:tcW w:w="1032" w:type="dxa"/>
          </w:tcPr>
          <w:p w14:paraId="68AE8008" w14:textId="77777777" w:rsidR="00B82091" w:rsidRPr="00161675" w:rsidRDefault="00B82091" w:rsidP="006C1644">
            <w:pPr>
              <w:pStyle w:val="TableText"/>
              <w:rPr>
                <w:sz w:val="18"/>
                <w:szCs w:val="18"/>
              </w:rPr>
            </w:pPr>
            <w:r w:rsidRPr="00161675">
              <w:rPr>
                <w:sz w:val="18"/>
                <w:szCs w:val="18"/>
              </w:rPr>
              <w:t>1:300</w:t>
            </w:r>
          </w:p>
        </w:tc>
      </w:tr>
      <w:tr w:rsidR="00B82091" w:rsidRPr="00C304B9" w14:paraId="539E5050" w14:textId="77777777" w:rsidTr="006C1644">
        <w:tc>
          <w:tcPr>
            <w:tcW w:w="1695" w:type="dxa"/>
          </w:tcPr>
          <w:p w14:paraId="0F345785" w14:textId="77777777" w:rsidR="00B82091" w:rsidRPr="00161675" w:rsidRDefault="00B82091" w:rsidP="006C1644">
            <w:pPr>
              <w:pStyle w:val="TableText"/>
              <w:rPr>
                <w:sz w:val="18"/>
                <w:szCs w:val="18"/>
              </w:rPr>
            </w:pPr>
            <w:r w:rsidRPr="00161675">
              <w:rPr>
                <w:sz w:val="18"/>
                <w:szCs w:val="18"/>
              </w:rPr>
              <w:t>Anti-Myh11</w:t>
            </w:r>
          </w:p>
        </w:tc>
        <w:tc>
          <w:tcPr>
            <w:tcW w:w="1450" w:type="dxa"/>
          </w:tcPr>
          <w:p w14:paraId="660E5092" w14:textId="77777777" w:rsidR="00B82091" w:rsidRPr="00161675" w:rsidRDefault="00B82091" w:rsidP="006C1644">
            <w:pPr>
              <w:pStyle w:val="TableText"/>
              <w:rPr>
                <w:sz w:val="18"/>
                <w:szCs w:val="18"/>
              </w:rPr>
            </w:pPr>
            <w:r w:rsidRPr="00161675">
              <w:rPr>
                <w:sz w:val="18"/>
                <w:szCs w:val="18"/>
              </w:rPr>
              <w:t>Mouse</w:t>
            </w:r>
          </w:p>
        </w:tc>
        <w:tc>
          <w:tcPr>
            <w:tcW w:w="1440" w:type="dxa"/>
          </w:tcPr>
          <w:p w14:paraId="4E35E746" w14:textId="77777777" w:rsidR="00B82091" w:rsidRPr="00161675" w:rsidRDefault="00B82091" w:rsidP="006C1644">
            <w:pPr>
              <w:pStyle w:val="TableText"/>
              <w:rPr>
                <w:sz w:val="18"/>
                <w:szCs w:val="18"/>
              </w:rPr>
            </w:pPr>
            <w:r w:rsidRPr="00161675">
              <w:rPr>
                <w:sz w:val="18"/>
                <w:szCs w:val="18"/>
              </w:rPr>
              <w:t>Rat</w:t>
            </w:r>
          </w:p>
        </w:tc>
        <w:tc>
          <w:tcPr>
            <w:tcW w:w="2393" w:type="dxa"/>
          </w:tcPr>
          <w:p w14:paraId="04F65A66" w14:textId="77777777" w:rsidR="00B82091" w:rsidRPr="00161675" w:rsidRDefault="00B82091" w:rsidP="006C1644">
            <w:pPr>
              <w:pStyle w:val="TableText"/>
              <w:rPr>
                <w:sz w:val="18"/>
                <w:szCs w:val="18"/>
              </w:rPr>
            </w:pPr>
            <w:proofErr w:type="spellStart"/>
            <w:r w:rsidRPr="00161675">
              <w:rPr>
                <w:sz w:val="18"/>
                <w:szCs w:val="18"/>
              </w:rPr>
              <w:t>Kamiya</w:t>
            </w:r>
            <w:proofErr w:type="spellEnd"/>
            <w:r w:rsidRPr="00161675">
              <w:rPr>
                <w:sz w:val="18"/>
                <w:szCs w:val="18"/>
              </w:rPr>
              <w:t xml:space="preserve"> Biomedical Company, Seattle, WA</w:t>
            </w:r>
          </w:p>
        </w:tc>
        <w:tc>
          <w:tcPr>
            <w:tcW w:w="1340" w:type="dxa"/>
          </w:tcPr>
          <w:p w14:paraId="79F6B918" w14:textId="77777777" w:rsidR="00B82091" w:rsidRPr="00161675" w:rsidRDefault="00B82091" w:rsidP="006C1644">
            <w:pPr>
              <w:pStyle w:val="TableText"/>
              <w:rPr>
                <w:sz w:val="18"/>
                <w:szCs w:val="18"/>
              </w:rPr>
            </w:pPr>
            <w:r w:rsidRPr="00161675">
              <w:rPr>
                <w:sz w:val="18"/>
                <w:szCs w:val="18"/>
              </w:rPr>
              <w:t>MC-352</w:t>
            </w:r>
          </w:p>
        </w:tc>
        <w:tc>
          <w:tcPr>
            <w:tcW w:w="1032" w:type="dxa"/>
          </w:tcPr>
          <w:p w14:paraId="0927B6D9" w14:textId="77777777" w:rsidR="00B82091" w:rsidRPr="00161675" w:rsidRDefault="00B82091" w:rsidP="006C1644">
            <w:pPr>
              <w:pStyle w:val="TableText"/>
              <w:rPr>
                <w:sz w:val="18"/>
                <w:szCs w:val="18"/>
              </w:rPr>
            </w:pPr>
            <w:r w:rsidRPr="00161675">
              <w:rPr>
                <w:sz w:val="18"/>
                <w:szCs w:val="18"/>
              </w:rPr>
              <w:t>1:300</w:t>
            </w:r>
          </w:p>
        </w:tc>
      </w:tr>
      <w:tr w:rsidR="00B82091" w:rsidRPr="00C304B9" w14:paraId="72CA7067" w14:textId="77777777" w:rsidTr="006C1644">
        <w:tc>
          <w:tcPr>
            <w:tcW w:w="1695" w:type="dxa"/>
          </w:tcPr>
          <w:p w14:paraId="7B7BF0B7" w14:textId="77777777" w:rsidR="00B82091" w:rsidRPr="00161675" w:rsidRDefault="00B82091" w:rsidP="006C1644">
            <w:pPr>
              <w:pStyle w:val="TableText"/>
              <w:rPr>
                <w:sz w:val="18"/>
                <w:szCs w:val="18"/>
              </w:rPr>
            </w:pPr>
            <w:r w:rsidRPr="00161675">
              <w:rPr>
                <w:sz w:val="18"/>
                <w:szCs w:val="18"/>
              </w:rPr>
              <w:t>Anti-GFP [AF647]</w:t>
            </w:r>
          </w:p>
        </w:tc>
        <w:tc>
          <w:tcPr>
            <w:tcW w:w="1450" w:type="dxa"/>
          </w:tcPr>
          <w:p w14:paraId="5CCE8CA6" w14:textId="77777777" w:rsidR="00B82091" w:rsidRPr="00161675" w:rsidRDefault="00B82091" w:rsidP="006C1644">
            <w:pPr>
              <w:pStyle w:val="TableText"/>
              <w:rPr>
                <w:i/>
                <w:color w:val="222222"/>
                <w:spacing w:val="3"/>
                <w:sz w:val="18"/>
                <w:szCs w:val="18"/>
              </w:rPr>
            </w:pPr>
            <w:r w:rsidRPr="00161675">
              <w:rPr>
                <w:rFonts w:ascii="Helvetica" w:hAnsi="Helvetica" w:cs="Helvetica"/>
                <w:i/>
                <w:color w:val="333333"/>
                <w:sz w:val="18"/>
                <w:szCs w:val="18"/>
                <w:shd w:val="clear" w:color="auto" w:fill="FFFFFF"/>
              </w:rPr>
              <w:t xml:space="preserve">Aequorea </w:t>
            </w:r>
            <w:proofErr w:type="spellStart"/>
            <w:r w:rsidRPr="00161675">
              <w:rPr>
                <w:rFonts w:ascii="Helvetica" w:hAnsi="Helvetica" w:cs="Helvetica"/>
                <w:i/>
                <w:color w:val="333333"/>
                <w:sz w:val="18"/>
                <w:szCs w:val="18"/>
                <w:shd w:val="clear" w:color="auto" w:fill="FFFFFF"/>
              </w:rPr>
              <w:t>victoria</w:t>
            </w:r>
            <w:proofErr w:type="spellEnd"/>
          </w:p>
        </w:tc>
        <w:tc>
          <w:tcPr>
            <w:tcW w:w="1440" w:type="dxa"/>
          </w:tcPr>
          <w:p w14:paraId="7AF692FE" w14:textId="77777777" w:rsidR="00B82091" w:rsidRPr="00161675" w:rsidRDefault="00B82091" w:rsidP="006C1644">
            <w:pPr>
              <w:pStyle w:val="TableText"/>
              <w:rPr>
                <w:color w:val="222222"/>
                <w:spacing w:val="3"/>
                <w:sz w:val="18"/>
                <w:szCs w:val="18"/>
              </w:rPr>
            </w:pPr>
            <w:r w:rsidRPr="00161675">
              <w:rPr>
                <w:color w:val="222222"/>
                <w:spacing w:val="3"/>
                <w:sz w:val="18"/>
                <w:szCs w:val="18"/>
              </w:rPr>
              <w:t>Rabbit</w:t>
            </w:r>
          </w:p>
        </w:tc>
        <w:tc>
          <w:tcPr>
            <w:tcW w:w="2393" w:type="dxa"/>
          </w:tcPr>
          <w:p w14:paraId="6072208B" w14:textId="77777777" w:rsidR="00B82091" w:rsidRPr="00161675" w:rsidRDefault="00B82091" w:rsidP="006C1644">
            <w:pPr>
              <w:pStyle w:val="TableText"/>
              <w:rPr>
                <w:sz w:val="18"/>
                <w:szCs w:val="18"/>
              </w:rPr>
            </w:pPr>
            <w:r w:rsidRPr="00161675">
              <w:rPr>
                <w:color w:val="222222"/>
                <w:spacing w:val="3"/>
                <w:sz w:val="18"/>
                <w:szCs w:val="18"/>
              </w:rPr>
              <w:t>Life Technologies, Carlsbad, CA</w:t>
            </w:r>
          </w:p>
        </w:tc>
        <w:tc>
          <w:tcPr>
            <w:tcW w:w="1340" w:type="dxa"/>
          </w:tcPr>
          <w:p w14:paraId="15576185" w14:textId="77777777" w:rsidR="00B82091" w:rsidRPr="00161675" w:rsidRDefault="00B82091" w:rsidP="006C1644">
            <w:pPr>
              <w:pStyle w:val="TableText"/>
              <w:rPr>
                <w:sz w:val="18"/>
                <w:szCs w:val="18"/>
              </w:rPr>
            </w:pPr>
            <w:r w:rsidRPr="00161675">
              <w:rPr>
                <w:sz w:val="18"/>
                <w:szCs w:val="18"/>
              </w:rPr>
              <w:t>A-31852</w:t>
            </w:r>
          </w:p>
        </w:tc>
        <w:tc>
          <w:tcPr>
            <w:tcW w:w="1032" w:type="dxa"/>
          </w:tcPr>
          <w:p w14:paraId="5444E9CE" w14:textId="77777777" w:rsidR="00B82091" w:rsidRPr="00161675" w:rsidRDefault="00B82091" w:rsidP="006C1644">
            <w:pPr>
              <w:pStyle w:val="TableText"/>
              <w:rPr>
                <w:sz w:val="18"/>
                <w:szCs w:val="18"/>
              </w:rPr>
            </w:pPr>
            <w:r w:rsidRPr="00161675">
              <w:rPr>
                <w:sz w:val="18"/>
                <w:szCs w:val="18"/>
              </w:rPr>
              <w:t>1:150</w:t>
            </w:r>
          </w:p>
        </w:tc>
      </w:tr>
      <w:tr w:rsidR="00B82091" w:rsidRPr="00C304B9" w14:paraId="104129E1" w14:textId="77777777" w:rsidTr="006C1644">
        <w:tc>
          <w:tcPr>
            <w:tcW w:w="1695" w:type="dxa"/>
          </w:tcPr>
          <w:p w14:paraId="5B472730" w14:textId="77777777" w:rsidR="00B82091" w:rsidRPr="00161675" w:rsidRDefault="00B82091" w:rsidP="006C1644">
            <w:pPr>
              <w:pStyle w:val="TableText"/>
              <w:rPr>
                <w:sz w:val="18"/>
                <w:szCs w:val="18"/>
              </w:rPr>
            </w:pPr>
            <w:r w:rsidRPr="00161675">
              <w:rPr>
                <w:sz w:val="18"/>
                <w:szCs w:val="18"/>
              </w:rPr>
              <w:t>Anti-IBA1</w:t>
            </w:r>
          </w:p>
        </w:tc>
        <w:tc>
          <w:tcPr>
            <w:tcW w:w="1450" w:type="dxa"/>
          </w:tcPr>
          <w:p w14:paraId="53B73B5F" w14:textId="77777777" w:rsidR="00B82091" w:rsidRPr="00161675" w:rsidRDefault="00B82091" w:rsidP="006C1644">
            <w:pPr>
              <w:pStyle w:val="TableText"/>
              <w:rPr>
                <w:sz w:val="18"/>
                <w:szCs w:val="18"/>
              </w:rPr>
            </w:pPr>
            <w:r w:rsidRPr="00161675">
              <w:rPr>
                <w:sz w:val="18"/>
                <w:szCs w:val="18"/>
              </w:rPr>
              <w:t>Rat</w:t>
            </w:r>
          </w:p>
        </w:tc>
        <w:tc>
          <w:tcPr>
            <w:tcW w:w="1440" w:type="dxa"/>
          </w:tcPr>
          <w:p w14:paraId="376D8AAC" w14:textId="77777777" w:rsidR="00B82091" w:rsidRPr="00161675" w:rsidRDefault="00B82091" w:rsidP="006C1644">
            <w:pPr>
              <w:pStyle w:val="TableText"/>
              <w:rPr>
                <w:sz w:val="18"/>
                <w:szCs w:val="18"/>
              </w:rPr>
            </w:pPr>
            <w:r w:rsidRPr="00161675">
              <w:rPr>
                <w:sz w:val="18"/>
                <w:szCs w:val="18"/>
              </w:rPr>
              <w:t>Goat</w:t>
            </w:r>
          </w:p>
        </w:tc>
        <w:tc>
          <w:tcPr>
            <w:tcW w:w="2393" w:type="dxa"/>
          </w:tcPr>
          <w:p w14:paraId="006DB630" w14:textId="77777777" w:rsidR="00B82091" w:rsidRPr="00161675" w:rsidRDefault="00B82091" w:rsidP="006C1644">
            <w:pPr>
              <w:pStyle w:val="TableText"/>
              <w:rPr>
                <w:sz w:val="18"/>
                <w:szCs w:val="18"/>
              </w:rPr>
            </w:pPr>
            <w:r w:rsidRPr="00161675">
              <w:rPr>
                <w:sz w:val="18"/>
                <w:szCs w:val="18"/>
              </w:rPr>
              <w:t>Abcam, Cambridge, UK</w:t>
            </w:r>
          </w:p>
        </w:tc>
        <w:tc>
          <w:tcPr>
            <w:tcW w:w="1340" w:type="dxa"/>
          </w:tcPr>
          <w:p w14:paraId="0BF310C7" w14:textId="77777777" w:rsidR="00B82091" w:rsidRPr="00161675" w:rsidRDefault="00B82091" w:rsidP="006C1644">
            <w:pPr>
              <w:pStyle w:val="TableText"/>
              <w:rPr>
                <w:sz w:val="18"/>
                <w:szCs w:val="18"/>
              </w:rPr>
            </w:pPr>
            <w:r w:rsidRPr="00161675">
              <w:rPr>
                <w:sz w:val="18"/>
                <w:szCs w:val="18"/>
              </w:rPr>
              <w:t>AB107159</w:t>
            </w:r>
          </w:p>
        </w:tc>
        <w:tc>
          <w:tcPr>
            <w:tcW w:w="1032" w:type="dxa"/>
          </w:tcPr>
          <w:p w14:paraId="06D764C2" w14:textId="77777777" w:rsidR="00B82091" w:rsidRPr="00161675" w:rsidRDefault="00B82091" w:rsidP="006C1644">
            <w:pPr>
              <w:pStyle w:val="TableText"/>
              <w:rPr>
                <w:sz w:val="18"/>
                <w:szCs w:val="18"/>
              </w:rPr>
            </w:pPr>
            <w:r w:rsidRPr="00161675">
              <w:rPr>
                <w:sz w:val="18"/>
                <w:szCs w:val="18"/>
              </w:rPr>
              <w:t>1:200</w:t>
            </w:r>
          </w:p>
        </w:tc>
      </w:tr>
    </w:tbl>
    <w:p w14:paraId="2EF04BD5" w14:textId="77777777" w:rsidR="00B82091" w:rsidRDefault="00B82091" w:rsidP="00B82091">
      <w:pPr>
        <w:rPr>
          <w:rFonts w:cs="Times New Roman"/>
        </w:rPr>
      </w:pPr>
    </w:p>
    <w:p w14:paraId="5399F738" w14:textId="77777777" w:rsidR="00B82091" w:rsidRDefault="00B82091" w:rsidP="00B82091">
      <w:pPr>
        <w:pStyle w:val="Heading2"/>
      </w:pPr>
      <w:r>
        <w:t>Table 2: Secondary Antibodies</w:t>
      </w:r>
    </w:p>
    <w:tbl>
      <w:tblPr>
        <w:tblStyle w:val="TableGrid"/>
        <w:tblW w:w="0" w:type="auto"/>
        <w:tblLook w:val="04A0" w:firstRow="1" w:lastRow="0" w:firstColumn="1" w:lastColumn="0" w:noHBand="0" w:noVBand="1"/>
      </w:tblPr>
      <w:tblGrid>
        <w:gridCol w:w="1458"/>
        <w:gridCol w:w="1292"/>
        <w:gridCol w:w="1447"/>
        <w:gridCol w:w="1907"/>
        <w:gridCol w:w="1601"/>
        <w:gridCol w:w="1645"/>
      </w:tblGrid>
      <w:tr w:rsidR="00B82091" w:rsidRPr="00C304B9" w14:paraId="55F61D2A" w14:textId="77777777" w:rsidTr="006C1644">
        <w:trPr>
          <w:trHeight w:val="287"/>
        </w:trPr>
        <w:tc>
          <w:tcPr>
            <w:tcW w:w="1458" w:type="dxa"/>
            <w:vAlign w:val="bottom"/>
          </w:tcPr>
          <w:p w14:paraId="54ADF074" w14:textId="77777777" w:rsidR="00B82091" w:rsidRPr="00161675" w:rsidRDefault="00B82091" w:rsidP="006C1644">
            <w:pPr>
              <w:pStyle w:val="TableText"/>
              <w:rPr>
                <w:b/>
                <w:sz w:val="18"/>
                <w:szCs w:val="18"/>
              </w:rPr>
            </w:pPr>
            <w:r w:rsidRPr="00161675">
              <w:rPr>
                <w:b/>
                <w:sz w:val="18"/>
                <w:szCs w:val="18"/>
              </w:rPr>
              <w:t>Host</w:t>
            </w:r>
          </w:p>
        </w:tc>
        <w:tc>
          <w:tcPr>
            <w:tcW w:w="1292" w:type="dxa"/>
            <w:vAlign w:val="bottom"/>
          </w:tcPr>
          <w:p w14:paraId="2FEE70DA" w14:textId="77777777" w:rsidR="00B82091" w:rsidRPr="00161675" w:rsidRDefault="00B82091" w:rsidP="006C1644">
            <w:pPr>
              <w:pStyle w:val="TableText"/>
              <w:rPr>
                <w:b/>
                <w:sz w:val="18"/>
                <w:szCs w:val="18"/>
              </w:rPr>
            </w:pPr>
            <w:r w:rsidRPr="00161675">
              <w:rPr>
                <w:b/>
                <w:sz w:val="18"/>
                <w:szCs w:val="18"/>
              </w:rPr>
              <w:t>Target</w:t>
            </w:r>
          </w:p>
        </w:tc>
        <w:tc>
          <w:tcPr>
            <w:tcW w:w="1447" w:type="dxa"/>
            <w:vAlign w:val="bottom"/>
          </w:tcPr>
          <w:p w14:paraId="696C2572" w14:textId="77777777" w:rsidR="00B82091" w:rsidRPr="00161675" w:rsidRDefault="00B82091" w:rsidP="006C1644">
            <w:pPr>
              <w:pStyle w:val="TableText"/>
              <w:rPr>
                <w:b/>
                <w:sz w:val="18"/>
                <w:szCs w:val="18"/>
              </w:rPr>
            </w:pPr>
            <w:r w:rsidRPr="00161675">
              <w:rPr>
                <w:b/>
                <w:sz w:val="18"/>
                <w:szCs w:val="18"/>
              </w:rPr>
              <w:t>Flour</w:t>
            </w:r>
          </w:p>
        </w:tc>
        <w:tc>
          <w:tcPr>
            <w:tcW w:w="1907" w:type="dxa"/>
            <w:vAlign w:val="bottom"/>
          </w:tcPr>
          <w:p w14:paraId="74E586D7" w14:textId="77777777" w:rsidR="00B82091" w:rsidRPr="00161675" w:rsidRDefault="00B82091" w:rsidP="006C1644">
            <w:pPr>
              <w:pStyle w:val="TableText"/>
              <w:rPr>
                <w:b/>
                <w:sz w:val="18"/>
                <w:szCs w:val="18"/>
              </w:rPr>
            </w:pPr>
            <w:r w:rsidRPr="00161675">
              <w:rPr>
                <w:b/>
                <w:sz w:val="18"/>
                <w:szCs w:val="18"/>
              </w:rPr>
              <w:t>Company</w:t>
            </w:r>
          </w:p>
        </w:tc>
        <w:tc>
          <w:tcPr>
            <w:tcW w:w="1601" w:type="dxa"/>
            <w:vAlign w:val="bottom"/>
          </w:tcPr>
          <w:p w14:paraId="2472CCAF" w14:textId="77777777" w:rsidR="00B82091" w:rsidRPr="00161675" w:rsidRDefault="00B82091" w:rsidP="006C1644">
            <w:pPr>
              <w:pStyle w:val="TableText"/>
              <w:rPr>
                <w:b/>
                <w:sz w:val="18"/>
                <w:szCs w:val="18"/>
              </w:rPr>
            </w:pPr>
            <w:r w:rsidRPr="00161675">
              <w:rPr>
                <w:b/>
                <w:sz w:val="18"/>
                <w:szCs w:val="18"/>
              </w:rPr>
              <w:t>Cat #</w:t>
            </w:r>
          </w:p>
        </w:tc>
        <w:tc>
          <w:tcPr>
            <w:tcW w:w="1645" w:type="dxa"/>
            <w:vAlign w:val="bottom"/>
          </w:tcPr>
          <w:p w14:paraId="632322AC" w14:textId="77777777" w:rsidR="00B82091" w:rsidRPr="00161675" w:rsidRDefault="00B82091" w:rsidP="006C1644">
            <w:pPr>
              <w:pStyle w:val="TableText"/>
              <w:rPr>
                <w:b/>
                <w:sz w:val="18"/>
                <w:szCs w:val="18"/>
              </w:rPr>
            </w:pPr>
            <w:r w:rsidRPr="00161675">
              <w:rPr>
                <w:b/>
                <w:sz w:val="18"/>
                <w:szCs w:val="18"/>
              </w:rPr>
              <w:t>Dilution</w:t>
            </w:r>
          </w:p>
        </w:tc>
      </w:tr>
      <w:tr w:rsidR="00B82091" w:rsidRPr="00C304B9" w14:paraId="1B566C76" w14:textId="77777777" w:rsidTr="006C1644">
        <w:tc>
          <w:tcPr>
            <w:tcW w:w="1458" w:type="dxa"/>
          </w:tcPr>
          <w:p w14:paraId="5DC9B7B0" w14:textId="77777777" w:rsidR="00B82091" w:rsidRPr="00161675" w:rsidRDefault="00B82091" w:rsidP="006C1644">
            <w:pPr>
              <w:pStyle w:val="TableText"/>
              <w:rPr>
                <w:sz w:val="18"/>
                <w:szCs w:val="18"/>
              </w:rPr>
            </w:pPr>
            <w:r w:rsidRPr="00161675">
              <w:rPr>
                <w:sz w:val="18"/>
                <w:szCs w:val="18"/>
              </w:rPr>
              <w:t>Donkey</w:t>
            </w:r>
          </w:p>
        </w:tc>
        <w:tc>
          <w:tcPr>
            <w:tcW w:w="1292" w:type="dxa"/>
          </w:tcPr>
          <w:p w14:paraId="1E98B634" w14:textId="77777777" w:rsidR="00B82091" w:rsidRPr="00161675" w:rsidRDefault="00B82091" w:rsidP="006C1644">
            <w:pPr>
              <w:pStyle w:val="TableText"/>
              <w:rPr>
                <w:sz w:val="18"/>
                <w:szCs w:val="18"/>
              </w:rPr>
            </w:pPr>
            <w:r w:rsidRPr="00161675">
              <w:rPr>
                <w:sz w:val="18"/>
                <w:szCs w:val="18"/>
              </w:rPr>
              <w:t>Rabbit IgG</w:t>
            </w:r>
          </w:p>
        </w:tc>
        <w:tc>
          <w:tcPr>
            <w:tcW w:w="1447" w:type="dxa"/>
          </w:tcPr>
          <w:p w14:paraId="6392A581" w14:textId="77777777" w:rsidR="00B82091" w:rsidRPr="00161675" w:rsidRDefault="00B82091" w:rsidP="006C1644">
            <w:pPr>
              <w:pStyle w:val="TableText"/>
              <w:rPr>
                <w:sz w:val="18"/>
                <w:szCs w:val="18"/>
              </w:rPr>
            </w:pPr>
            <w:r w:rsidRPr="00161675">
              <w:rPr>
                <w:sz w:val="18"/>
                <w:szCs w:val="18"/>
              </w:rPr>
              <w:t>AF546</w:t>
            </w:r>
          </w:p>
        </w:tc>
        <w:tc>
          <w:tcPr>
            <w:tcW w:w="1907" w:type="dxa"/>
          </w:tcPr>
          <w:p w14:paraId="0BE4440C" w14:textId="77777777" w:rsidR="00B82091" w:rsidRPr="00161675" w:rsidRDefault="00B82091" w:rsidP="006C1644">
            <w:pPr>
              <w:pStyle w:val="TableText"/>
              <w:rPr>
                <w:sz w:val="18"/>
                <w:szCs w:val="18"/>
              </w:rPr>
            </w:pPr>
            <w:r w:rsidRPr="00161675">
              <w:rPr>
                <w:sz w:val="18"/>
                <w:szCs w:val="18"/>
              </w:rPr>
              <w:t>Invitrogen, Carlsbad, CA</w:t>
            </w:r>
          </w:p>
        </w:tc>
        <w:tc>
          <w:tcPr>
            <w:tcW w:w="1601" w:type="dxa"/>
          </w:tcPr>
          <w:p w14:paraId="4F132F57" w14:textId="77777777" w:rsidR="00B82091" w:rsidRPr="00161675" w:rsidRDefault="00B82091" w:rsidP="006C1644">
            <w:pPr>
              <w:pStyle w:val="TableText"/>
              <w:rPr>
                <w:sz w:val="18"/>
                <w:szCs w:val="18"/>
              </w:rPr>
            </w:pPr>
            <w:r w:rsidRPr="00161675">
              <w:rPr>
                <w:sz w:val="18"/>
                <w:szCs w:val="18"/>
              </w:rPr>
              <w:t>A10040</w:t>
            </w:r>
          </w:p>
        </w:tc>
        <w:tc>
          <w:tcPr>
            <w:tcW w:w="1645" w:type="dxa"/>
          </w:tcPr>
          <w:p w14:paraId="2E0BF22D" w14:textId="77777777" w:rsidR="00B82091" w:rsidRPr="00161675" w:rsidRDefault="00B82091" w:rsidP="006C1644">
            <w:pPr>
              <w:pStyle w:val="TableText"/>
              <w:rPr>
                <w:sz w:val="18"/>
                <w:szCs w:val="18"/>
              </w:rPr>
            </w:pPr>
            <w:r w:rsidRPr="00161675">
              <w:rPr>
                <w:sz w:val="18"/>
                <w:szCs w:val="18"/>
              </w:rPr>
              <w:t>1:600</w:t>
            </w:r>
          </w:p>
        </w:tc>
      </w:tr>
      <w:tr w:rsidR="00B82091" w:rsidRPr="00C304B9" w14:paraId="0A73C7A6" w14:textId="77777777" w:rsidTr="006C1644">
        <w:tc>
          <w:tcPr>
            <w:tcW w:w="1458" w:type="dxa"/>
          </w:tcPr>
          <w:p w14:paraId="5D8BA29D" w14:textId="77777777" w:rsidR="00B82091" w:rsidRPr="00161675" w:rsidRDefault="00B82091" w:rsidP="006C1644">
            <w:pPr>
              <w:pStyle w:val="TableText"/>
              <w:rPr>
                <w:sz w:val="18"/>
                <w:szCs w:val="18"/>
              </w:rPr>
            </w:pPr>
            <w:r w:rsidRPr="00161675">
              <w:rPr>
                <w:sz w:val="18"/>
                <w:szCs w:val="18"/>
              </w:rPr>
              <w:t>Donkey</w:t>
            </w:r>
          </w:p>
        </w:tc>
        <w:tc>
          <w:tcPr>
            <w:tcW w:w="1292" w:type="dxa"/>
          </w:tcPr>
          <w:p w14:paraId="50EA4045" w14:textId="77777777" w:rsidR="00B82091" w:rsidRPr="00161675" w:rsidRDefault="00B82091" w:rsidP="006C1644">
            <w:pPr>
              <w:pStyle w:val="TableText"/>
              <w:rPr>
                <w:sz w:val="18"/>
                <w:szCs w:val="18"/>
              </w:rPr>
            </w:pPr>
            <w:r w:rsidRPr="00161675">
              <w:rPr>
                <w:sz w:val="18"/>
                <w:szCs w:val="18"/>
              </w:rPr>
              <w:t>Rabbit IgG</w:t>
            </w:r>
          </w:p>
        </w:tc>
        <w:tc>
          <w:tcPr>
            <w:tcW w:w="1447" w:type="dxa"/>
          </w:tcPr>
          <w:p w14:paraId="45B06BBC" w14:textId="77777777" w:rsidR="00B82091" w:rsidRPr="00161675" w:rsidRDefault="00B82091" w:rsidP="006C1644">
            <w:pPr>
              <w:pStyle w:val="TableText"/>
              <w:rPr>
                <w:sz w:val="18"/>
                <w:szCs w:val="18"/>
              </w:rPr>
            </w:pPr>
            <w:r w:rsidRPr="00161675">
              <w:rPr>
                <w:sz w:val="18"/>
                <w:szCs w:val="18"/>
              </w:rPr>
              <w:t>AF647</w:t>
            </w:r>
          </w:p>
        </w:tc>
        <w:tc>
          <w:tcPr>
            <w:tcW w:w="1907" w:type="dxa"/>
          </w:tcPr>
          <w:p w14:paraId="1C21EEE1" w14:textId="77777777" w:rsidR="00B82091" w:rsidRPr="00161675" w:rsidRDefault="00B82091" w:rsidP="006C1644">
            <w:pPr>
              <w:pStyle w:val="TableText"/>
              <w:rPr>
                <w:sz w:val="18"/>
                <w:szCs w:val="18"/>
              </w:rPr>
            </w:pPr>
            <w:proofErr w:type="spellStart"/>
            <w:r w:rsidRPr="00161675">
              <w:rPr>
                <w:sz w:val="18"/>
                <w:szCs w:val="18"/>
              </w:rPr>
              <w:t>ThermoFisher</w:t>
            </w:r>
            <w:proofErr w:type="spellEnd"/>
            <w:r w:rsidRPr="00161675">
              <w:rPr>
                <w:sz w:val="18"/>
                <w:szCs w:val="18"/>
              </w:rPr>
              <w:t>, Waltham, MA</w:t>
            </w:r>
            <w:r w:rsidRPr="00161675">
              <w:rPr>
                <w:sz w:val="18"/>
                <w:szCs w:val="18"/>
              </w:rPr>
              <w:tab/>
            </w:r>
          </w:p>
        </w:tc>
        <w:tc>
          <w:tcPr>
            <w:tcW w:w="1601" w:type="dxa"/>
          </w:tcPr>
          <w:p w14:paraId="5CD5F093" w14:textId="77777777" w:rsidR="00B82091" w:rsidRPr="00161675" w:rsidRDefault="00B82091" w:rsidP="006C1644">
            <w:pPr>
              <w:pStyle w:val="TableText"/>
              <w:rPr>
                <w:sz w:val="18"/>
                <w:szCs w:val="18"/>
              </w:rPr>
            </w:pPr>
            <w:r w:rsidRPr="00161675">
              <w:rPr>
                <w:sz w:val="18"/>
                <w:szCs w:val="18"/>
              </w:rPr>
              <w:t>A-31573</w:t>
            </w:r>
          </w:p>
        </w:tc>
        <w:tc>
          <w:tcPr>
            <w:tcW w:w="1645" w:type="dxa"/>
          </w:tcPr>
          <w:p w14:paraId="167B1225" w14:textId="77777777" w:rsidR="00B82091" w:rsidRPr="00161675" w:rsidRDefault="00B82091" w:rsidP="006C1644">
            <w:pPr>
              <w:pStyle w:val="TableText"/>
              <w:rPr>
                <w:sz w:val="18"/>
                <w:szCs w:val="18"/>
              </w:rPr>
            </w:pPr>
            <w:r w:rsidRPr="00161675">
              <w:rPr>
                <w:sz w:val="18"/>
                <w:szCs w:val="18"/>
              </w:rPr>
              <w:t>1:600</w:t>
            </w:r>
          </w:p>
        </w:tc>
      </w:tr>
      <w:tr w:rsidR="00B82091" w:rsidRPr="00C304B9" w14:paraId="0CE5B1FE" w14:textId="77777777" w:rsidTr="006C1644">
        <w:tc>
          <w:tcPr>
            <w:tcW w:w="1458" w:type="dxa"/>
          </w:tcPr>
          <w:p w14:paraId="16BED33F" w14:textId="77777777" w:rsidR="00B82091" w:rsidRPr="00161675" w:rsidRDefault="00B82091" w:rsidP="006C1644">
            <w:pPr>
              <w:pStyle w:val="TableText"/>
              <w:rPr>
                <w:sz w:val="18"/>
                <w:szCs w:val="18"/>
              </w:rPr>
            </w:pPr>
            <w:r w:rsidRPr="00161675">
              <w:rPr>
                <w:sz w:val="18"/>
                <w:szCs w:val="18"/>
              </w:rPr>
              <w:t>Donkey</w:t>
            </w:r>
          </w:p>
        </w:tc>
        <w:tc>
          <w:tcPr>
            <w:tcW w:w="1292" w:type="dxa"/>
          </w:tcPr>
          <w:p w14:paraId="31BAC43F" w14:textId="77777777" w:rsidR="00B82091" w:rsidRPr="00161675" w:rsidRDefault="00B82091" w:rsidP="006C1644">
            <w:pPr>
              <w:pStyle w:val="TableText"/>
              <w:rPr>
                <w:sz w:val="18"/>
                <w:szCs w:val="18"/>
              </w:rPr>
            </w:pPr>
            <w:r w:rsidRPr="00161675">
              <w:rPr>
                <w:sz w:val="18"/>
                <w:szCs w:val="18"/>
              </w:rPr>
              <w:t>Rat IgG</w:t>
            </w:r>
          </w:p>
        </w:tc>
        <w:tc>
          <w:tcPr>
            <w:tcW w:w="1447" w:type="dxa"/>
          </w:tcPr>
          <w:p w14:paraId="65076CBE" w14:textId="77777777" w:rsidR="00B82091" w:rsidRPr="00161675" w:rsidRDefault="00B82091" w:rsidP="006C1644">
            <w:pPr>
              <w:pStyle w:val="TableText"/>
              <w:rPr>
                <w:sz w:val="18"/>
                <w:szCs w:val="18"/>
              </w:rPr>
            </w:pPr>
            <w:r w:rsidRPr="00161675">
              <w:rPr>
                <w:sz w:val="18"/>
                <w:szCs w:val="18"/>
              </w:rPr>
              <w:t>AF488</w:t>
            </w:r>
          </w:p>
        </w:tc>
        <w:tc>
          <w:tcPr>
            <w:tcW w:w="1907" w:type="dxa"/>
          </w:tcPr>
          <w:p w14:paraId="68E39647" w14:textId="77777777" w:rsidR="00B82091" w:rsidRPr="00161675" w:rsidRDefault="00B82091" w:rsidP="006C1644">
            <w:pPr>
              <w:pStyle w:val="TableText"/>
              <w:rPr>
                <w:sz w:val="18"/>
                <w:szCs w:val="18"/>
              </w:rPr>
            </w:pPr>
            <w:r w:rsidRPr="00161675">
              <w:rPr>
                <w:sz w:val="18"/>
                <w:szCs w:val="18"/>
              </w:rPr>
              <w:t>Invitrogen, Carlsbad, CA</w:t>
            </w:r>
          </w:p>
        </w:tc>
        <w:tc>
          <w:tcPr>
            <w:tcW w:w="1601" w:type="dxa"/>
          </w:tcPr>
          <w:p w14:paraId="7E091926" w14:textId="77777777" w:rsidR="00B82091" w:rsidRPr="00161675" w:rsidRDefault="00B82091" w:rsidP="006C1644">
            <w:pPr>
              <w:pStyle w:val="TableText"/>
              <w:rPr>
                <w:sz w:val="18"/>
                <w:szCs w:val="18"/>
              </w:rPr>
            </w:pPr>
            <w:r w:rsidRPr="00161675">
              <w:rPr>
                <w:sz w:val="18"/>
                <w:szCs w:val="18"/>
              </w:rPr>
              <w:t>A-21208</w:t>
            </w:r>
          </w:p>
        </w:tc>
        <w:tc>
          <w:tcPr>
            <w:tcW w:w="1645" w:type="dxa"/>
          </w:tcPr>
          <w:p w14:paraId="3E16D492" w14:textId="77777777" w:rsidR="00B82091" w:rsidRPr="00161675" w:rsidRDefault="00B82091" w:rsidP="006C1644">
            <w:pPr>
              <w:pStyle w:val="TableText"/>
              <w:rPr>
                <w:sz w:val="18"/>
                <w:szCs w:val="18"/>
              </w:rPr>
            </w:pPr>
            <w:r w:rsidRPr="00161675">
              <w:rPr>
                <w:sz w:val="18"/>
                <w:szCs w:val="18"/>
              </w:rPr>
              <w:t>1:600</w:t>
            </w:r>
          </w:p>
        </w:tc>
      </w:tr>
      <w:tr w:rsidR="00B82091" w:rsidRPr="00C304B9" w14:paraId="59A81616" w14:textId="77777777" w:rsidTr="006C1644">
        <w:tc>
          <w:tcPr>
            <w:tcW w:w="1458" w:type="dxa"/>
          </w:tcPr>
          <w:p w14:paraId="62EA25A7" w14:textId="77777777" w:rsidR="00B82091" w:rsidRPr="00161675" w:rsidRDefault="00B82091" w:rsidP="006C1644">
            <w:pPr>
              <w:pStyle w:val="TableText"/>
              <w:rPr>
                <w:sz w:val="18"/>
                <w:szCs w:val="18"/>
              </w:rPr>
            </w:pPr>
            <w:r w:rsidRPr="00161675">
              <w:rPr>
                <w:sz w:val="18"/>
                <w:szCs w:val="18"/>
              </w:rPr>
              <w:t>Donkey</w:t>
            </w:r>
          </w:p>
        </w:tc>
        <w:tc>
          <w:tcPr>
            <w:tcW w:w="1292" w:type="dxa"/>
          </w:tcPr>
          <w:p w14:paraId="4BB36357" w14:textId="77777777" w:rsidR="00B82091" w:rsidRPr="00161675" w:rsidRDefault="00B82091" w:rsidP="006C1644">
            <w:pPr>
              <w:pStyle w:val="TableText"/>
              <w:rPr>
                <w:sz w:val="18"/>
                <w:szCs w:val="18"/>
              </w:rPr>
            </w:pPr>
            <w:r w:rsidRPr="00161675">
              <w:rPr>
                <w:sz w:val="18"/>
                <w:szCs w:val="18"/>
              </w:rPr>
              <w:t>Rat IgG</w:t>
            </w:r>
          </w:p>
        </w:tc>
        <w:tc>
          <w:tcPr>
            <w:tcW w:w="1447" w:type="dxa"/>
          </w:tcPr>
          <w:p w14:paraId="3BF6DB1F" w14:textId="77777777" w:rsidR="00B82091" w:rsidRPr="00161675" w:rsidRDefault="00B82091" w:rsidP="006C1644">
            <w:pPr>
              <w:pStyle w:val="TableText"/>
              <w:rPr>
                <w:sz w:val="18"/>
                <w:szCs w:val="18"/>
              </w:rPr>
            </w:pPr>
            <w:r w:rsidRPr="00161675">
              <w:rPr>
                <w:sz w:val="18"/>
                <w:szCs w:val="18"/>
              </w:rPr>
              <w:t>AF647</w:t>
            </w:r>
          </w:p>
        </w:tc>
        <w:tc>
          <w:tcPr>
            <w:tcW w:w="1907" w:type="dxa"/>
          </w:tcPr>
          <w:p w14:paraId="0840F7ED" w14:textId="77777777" w:rsidR="00B82091" w:rsidRPr="00161675" w:rsidRDefault="00B82091" w:rsidP="006C1644">
            <w:pPr>
              <w:pStyle w:val="TableText"/>
              <w:rPr>
                <w:sz w:val="18"/>
                <w:szCs w:val="18"/>
              </w:rPr>
            </w:pPr>
            <w:r w:rsidRPr="00161675">
              <w:rPr>
                <w:sz w:val="18"/>
                <w:szCs w:val="18"/>
              </w:rPr>
              <w:t>Abcam, Cambridge, United Kingdom</w:t>
            </w:r>
          </w:p>
        </w:tc>
        <w:tc>
          <w:tcPr>
            <w:tcW w:w="1601" w:type="dxa"/>
          </w:tcPr>
          <w:p w14:paraId="3F73F366" w14:textId="77777777" w:rsidR="00B82091" w:rsidRPr="00161675" w:rsidRDefault="00B82091" w:rsidP="006C1644">
            <w:pPr>
              <w:pStyle w:val="TableText"/>
              <w:rPr>
                <w:sz w:val="18"/>
                <w:szCs w:val="18"/>
              </w:rPr>
            </w:pPr>
            <w:r w:rsidRPr="00161675">
              <w:rPr>
                <w:sz w:val="18"/>
                <w:szCs w:val="18"/>
              </w:rPr>
              <w:t>AB150155</w:t>
            </w:r>
          </w:p>
        </w:tc>
        <w:tc>
          <w:tcPr>
            <w:tcW w:w="1645" w:type="dxa"/>
          </w:tcPr>
          <w:p w14:paraId="5E4D61A6" w14:textId="77777777" w:rsidR="00B82091" w:rsidRPr="00161675" w:rsidRDefault="00B82091" w:rsidP="006C1644">
            <w:pPr>
              <w:pStyle w:val="TableText"/>
              <w:rPr>
                <w:sz w:val="18"/>
                <w:szCs w:val="18"/>
              </w:rPr>
            </w:pPr>
            <w:r w:rsidRPr="00161675">
              <w:rPr>
                <w:sz w:val="18"/>
                <w:szCs w:val="18"/>
              </w:rPr>
              <w:t>1:600</w:t>
            </w:r>
          </w:p>
        </w:tc>
      </w:tr>
      <w:tr w:rsidR="00B82091" w:rsidRPr="00C304B9" w14:paraId="21C5D7AF" w14:textId="77777777" w:rsidTr="006C1644">
        <w:tc>
          <w:tcPr>
            <w:tcW w:w="1458" w:type="dxa"/>
          </w:tcPr>
          <w:p w14:paraId="206442B4" w14:textId="77777777" w:rsidR="00B82091" w:rsidRPr="00161675" w:rsidRDefault="00B82091" w:rsidP="006C1644">
            <w:pPr>
              <w:pStyle w:val="TableText"/>
              <w:rPr>
                <w:sz w:val="18"/>
                <w:szCs w:val="18"/>
              </w:rPr>
            </w:pPr>
            <w:r w:rsidRPr="00161675">
              <w:rPr>
                <w:sz w:val="18"/>
                <w:szCs w:val="18"/>
              </w:rPr>
              <w:t>Donkey</w:t>
            </w:r>
          </w:p>
        </w:tc>
        <w:tc>
          <w:tcPr>
            <w:tcW w:w="1292" w:type="dxa"/>
          </w:tcPr>
          <w:p w14:paraId="415FBEC5" w14:textId="77777777" w:rsidR="00B82091" w:rsidRPr="00161675" w:rsidRDefault="00B82091" w:rsidP="006C1644">
            <w:pPr>
              <w:pStyle w:val="TableText"/>
              <w:rPr>
                <w:sz w:val="18"/>
                <w:szCs w:val="18"/>
              </w:rPr>
            </w:pPr>
            <w:r w:rsidRPr="00161675">
              <w:rPr>
                <w:sz w:val="18"/>
                <w:szCs w:val="18"/>
              </w:rPr>
              <w:t>Goat IgG</w:t>
            </w:r>
          </w:p>
        </w:tc>
        <w:tc>
          <w:tcPr>
            <w:tcW w:w="1447" w:type="dxa"/>
          </w:tcPr>
          <w:p w14:paraId="11265B12" w14:textId="77777777" w:rsidR="00B82091" w:rsidRPr="00161675" w:rsidRDefault="00B82091" w:rsidP="006C1644">
            <w:pPr>
              <w:pStyle w:val="TableText"/>
              <w:rPr>
                <w:sz w:val="18"/>
                <w:szCs w:val="18"/>
              </w:rPr>
            </w:pPr>
            <w:r w:rsidRPr="00161675">
              <w:rPr>
                <w:sz w:val="18"/>
                <w:szCs w:val="18"/>
              </w:rPr>
              <w:t>AF546</w:t>
            </w:r>
          </w:p>
        </w:tc>
        <w:tc>
          <w:tcPr>
            <w:tcW w:w="1907" w:type="dxa"/>
          </w:tcPr>
          <w:p w14:paraId="07806A4E" w14:textId="77777777" w:rsidR="00B82091" w:rsidRPr="00161675" w:rsidRDefault="00B82091" w:rsidP="006C1644">
            <w:pPr>
              <w:pStyle w:val="TableText"/>
              <w:rPr>
                <w:sz w:val="18"/>
                <w:szCs w:val="18"/>
              </w:rPr>
            </w:pPr>
            <w:r w:rsidRPr="00161675">
              <w:rPr>
                <w:sz w:val="18"/>
                <w:szCs w:val="18"/>
              </w:rPr>
              <w:t>Invitrogen, Carlsbad, CA</w:t>
            </w:r>
          </w:p>
        </w:tc>
        <w:tc>
          <w:tcPr>
            <w:tcW w:w="1601" w:type="dxa"/>
          </w:tcPr>
          <w:p w14:paraId="647ADE9E" w14:textId="77777777" w:rsidR="00B82091" w:rsidRPr="00161675" w:rsidRDefault="00B82091" w:rsidP="006C1644">
            <w:pPr>
              <w:pStyle w:val="TableText"/>
              <w:rPr>
                <w:sz w:val="18"/>
                <w:szCs w:val="18"/>
              </w:rPr>
            </w:pPr>
            <w:r w:rsidRPr="00161675">
              <w:rPr>
                <w:sz w:val="18"/>
                <w:szCs w:val="18"/>
              </w:rPr>
              <w:t>A11056</w:t>
            </w:r>
          </w:p>
        </w:tc>
        <w:tc>
          <w:tcPr>
            <w:tcW w:w="1645" w:type="dxa"/>
          </w:tcPr>
          <w:p w14:paraId="58BB3AA6" w14:textId="77777777" w:rsidR="00B82091" w:rsidRPr="00161675" w:rsidRDefault="00B82091" w:rsidP="006C1644">
            <w:pPr>
              <w:pStyle w:val="TableText"/>
              <w:rPr>
                <w:sz w:val="18"/>
                <w:szCs w:val="18"/>
              </w:rPr>
            </w:pPr>
            <w:r w:rsidRPr="00161675">
              <w:rPr>
                <w:sz w:val="18"/>
                <w:szCs w:val="18"/>
              </w:rPr>
              <w:t>1:600</w:t>
            </w:r>
          </w:p>
        </w:tc>
      </w:tr>
      <w:tr w:rsidR="00B82091" w:rsidRPr="00C304B9" w14:paraId="51CF29D0" w14:textId="77777777" w:rsidTr="006C1644">
        <w:tc>
          <w:tcPr>
            <w:tcW w:w="1458" w:type="dxa"/>
          </w:tcPr>
          <w:p w14:paraId="3DF02533" w14:textId="77777777" w:rsidR="00B82091" w:rsidRPr="00161675" w:rsidRDefault="00B82091" w:rsidP="006C1644">
            <w:pPr>
              <w:pStyle w:val="TableText"/>
              <w:rPr>
                <w:sz w:val="18"/>
                <w:szCs w:val="18"/>
              </w:rPr>
            </w:pPr>
            <w:r w:rsidRPr="00161675">
              <w:rPr>
                <w:sz w:val="18"/>
                <w:szCs w:val="18"/>
              </w:rPr>
              <w:t>Donkey</w:t>
            </w:r>
          </w:p>
        </w:tc>
        <w:tc>
          <w:tcPr>
            <w:tcW w:w="1292" w:type="dxa"/>
          </w:tcPr>
          <w:p w14:paraId="40CFDA16" w14:textId="77777777" w:rsidR="00B82091" w:rsidRPr="00161675" w:rsidRDefault="00B82091" w:rsidP="006C1644">
            <w:pPr>
              <w:pStyle w:val="TableText"/>
              <w:rPr>
                <w:sz w:val="18"/>
                <w:szCs w:val="18"/>
              </w:rPr>
            </w:pPr>
            <w:r w:rsidRPr="00161675">
              <w:rPr>
                <w:sz w:val="18"/>
                <w:szCs w:val="18"/>
              </w:rPr>
              <w:t>Goat IgG</w:t>
            </w:r>
          </w:p>
        </w:tc>
        <w:tc>
          <w:tcPr>
            <w:tcW w:w="1447" w:type="dxa"/>
          </w:tcPr>
          <w:p w14:paraId="00EE5F8E" w14:textId="77777777" w:rsidR="00B82091" w:rsidRPr="00161675" w:rsidRDefault="00B82091" w:rsidP="006C1644">
            <w:pPr>
              <w:pStyle w:val="TableText"/>
              <w:rPr>
                <w:sz w:val="18"/>
                <w:szCs w:val="18"/>
              </w:rPr>
            </w:pPr>
            <w:r w:rsidRPr="00161675">
              <w:rPr>
                <w:sz w:val="18"/>
                <w:szCs w:val="18"/>
              </w:rPr>
              <w:t>AF647</w:t>
            </w:r>
          </w:p>
        </w:tc>
        <w:tc>
          <w:tcPr>
            <w:tcW w:w="1907" w:type="dxa"/>
          </w:tcPr>
          <w:p w14:paraId="53D46ABB" w14:textId="77777777" w:rsidR="00B82091" w:rsidRPr="00161675" w:rsidRDefault="00B82091" w:rsidP="006C1644">
            <w:pPr>
              <w:pStyle w:val="TableText"/>
              <w:rPr>
                <w:sz w:val="18"/>
                <w:szCs w:val="18"/>
              </w:rPr>
            </w:pPr>
            <w:r w:rsidRPr="00161675">
              <w:rPr>
                <w:sz w:val="18"/>
                <w:szCs w:val="18"/>
              </w:rPr>
              <w:t>Invitrogen, Carlsbad, CA</w:t>
            </w:r>
          </w:p>
        </w:tc>
        <w:tc>
          <w:tcPr>
            <w:tcW w:w="1601" w:type="dxa"/>
          </w:tcPr>
          <w:p w14:paraId="170F5EDB" w14:textId="77777777" w:rsidR="00B82091" w:rsidRPr="00161675" w:rsidRDefault="00B82091" w:rsidP="006C1644">
            <w:pPr>
              <w:pStyle w:val="TableText"/>
              <w:rPr>
                <w:sz w:val="18"/>
                <w:szCs w:val="18"/>
              </w:rPr>
            </w:pPr>
            <w:r w:rsidRPr="00161675">
              <w:rPr>
                <w:sz w:val="18"/>
                <w:szCs w:val="18"/>
              </w:rPr>
              <w:t>A21447</w:t>
            </w:r>
          </w:p>
        </w:tc>
        <w:tc>
          <w:tcPr>
            <w:tcW w:w="1645" w:type="dxa"/>
          </w:tcPr>
          <w:p w14:paraId="43B6AB1C" w14:textId="77777777" w:rsidR="00B82091" w:rsidRPr="00161675" w:rsidRDefault="00B82091" w:rsidP="006C1644">
            <w:pPr>
              <w:pStyle w:val="TableText"/>
              <w:rPr>
                <w:sz w:val="18"/>
                <w:szCs w:val="18"/>
              </w:rPr>
            </w:pPr>
            <w:r w:rsidRPr="00161675">
              <w:rPr>
                <w:sz w:val="18"/>
                <w:szCs w:val="18"/>
              </w:rPr>
              <w:t>1:600</w:t>
            </w:r>
          </w:p>
        </w:tc>
      </w:tr>
    </w:tbl>
    <w:p w14:paraId="1383E5D5" w14:textId="77777777" w:rsidR="00B82091" w:rsidRPr="00844573" w:rsidRDefault="00B82091" w:rsidP="00B82091">
      <w:pPr>
        <w:rPr>
          <w:rFonts w:cs="Times New Roman"/>
        </w:rPr>
      </w:pPr>
    </w:p>
    <w:p w14:paraId="0BB037E5" w14:textId="46F1362D" w:rsidR="00A06E85" w:rsidRDefault="00A06E85" w:rsidP="00644B38">
      <w:pPr>
        <w:pStyle w:val="Heading1"/>
      </w:pPr>
      <w:r>
        <w:lastRenderedPageBreak/>
        <w:t xml:space="preserve">Supplementary </w:t>
      </w:r>
      <w:r w:rsidR="002F026B">
        <w:rPr>
          <w:rFonts w:cs="Times New Roman"/>
        </w:rPr>
        <w:t>Note</w:t>
      </w:r>
      <w:r w:rsidR="002756F5">
        <w:rPr>
          <w:rFonts w:cs="Times New Roman"/>
        </w:rPr>
        <w:t>s</w:t>
      </w:r>
    </w:p>
    <w:p w14:paraId="56840F80" w14:textId="79708176" w:rsidR="00B430EF" w:rsidRDefault="00B430EF" w:rsidP="00644B38">
      <w:pPr>
        <w:pStyle w:val="Heading2"/>
      </w:pPr>
      <w:r>
        <w:t xml:space="preserve">Supplementary </w:t>
      </w:r>
      <w:r w:rsidR="002F026B">
        <w:rPr>
          <w:rFonts w:cs="Times New Roman"/>
        </w:rPr>
        <w:t>Notes</w:t>
      </w:r>
      <w:r>
        <w:t xml:space="preserve"> 1: </w:t>
      </w:r>
      <w:r w:rsidR="001C125E">
        <w:t>M</w:t>
      </w:r>
      <w:r w:rsidR="00205C09">
        <w:t>ouse</w:t>
      </w:r>
      <w:r w:rsidR="001C125E">
        <w:t xml:space="preserve"> Treatments</w:t>
      </w:r>
    </w:p>
    <w:p w14:paraId="4BD55022" w14:textId="3C21B403" w:rsidR="00B55CF2" w:rsidRDefault="003A5386" w:rsidP="001C125E">
      <w:pPr>
        <w:rPr>
          <w:rFonts w:cs="Times New Roman"/>
          <w:szCs w:val="24"/>
        </w:rPr>
      </w:pPr>
      <w:r>
        <w:rPr>
          <w:rFonts w:cs="Times New Roman"/>
          <w:szCs w:val="24"/>
        </w:rPr>
        <w:t xml:space="preserve">With the lineage tracing mice used, </w:t>
      </w:r>
      <w:proofErr w:type="spellStart"/>
      <w:r>
        <w:rPr>
          <w:rFonts w:cs="Times New Roman"/>
          <w:szCs w:val="24"/>
        </w:rPr>
        <w:t>c</w:t>
      </w:r>
      <w:r w:rsidR="001C125E" w:rsidRPr="00570E3A">
        <w:rPr>
          <w:rFonts w:cs="Times New Roman"/>
          <w:szCs w:val="24"/>
        </w:rPr>
        <w:t>re</w:t>
      </w:r>
      <w:proofErr w:type="spellEnd"/>
      <w:r w:rsidR="001C125E" w:rsidRPr="00570E3A">
        <w:rPr>
          <w:rFonts w:cs="Times New Roman"/>
          <w:szCs w:val="24"/>
        </w:rPr>
        <w:t xml:space="preserve"> recombinase was activated in male mice with a series of ten 1-mg intraperitoneal injections of tamoxifen (</w:t>
      </w:r>
      <w:r w:rsidR="00E04CFC" w:rsidRPr="00570E3A">
        <w:rPr>
          <w:rFonts w:cs="Times New Roman"/>
          <w:szCs w:val="24"/>
        </w:rPr>
        <w:t>Sigma</w:t>
      </w:r>
      <w:r w:rsidR="00E04CFC">
        <w:rPr>
          <w:rFonts w:cs="Times New Roman"/>
          <w:szCs w:val="24"/>
        </w:rPr>
        <w:t xml:space="preserve">, </w:t>
      </w:r>
      <w:r w:rsidR="001C125E" w:rsidRPr="00570E3A">
        <w:rPr>
          <w:rFonts w:cs="Times New Roman"/>
          <w:szCs w:val="24"/>
        </w:rPr>
        <w:t>cat</w:t>
      </w:r>
      <w:r w:rsidR="00E04CFC">
        <w:rPr>
          <w:rFonts w:cs="Times New Roman"/>
          <w:szCs w:val="24"/>
        </w:rPr>
        <w:t>. #</w:t>
      </w:r>
      <w:r w:rsidR="001C125E" w:rsidRPr="00570E3A">
        <w:rPr>
          <w:rFonts w:cs="Times New Roman"/>
          <w:szCs w:val="24"/>
        </w:rPr>
        <w:t>. T-5648,) from 6 to 8 w</w:t>
      </w:r>
      <w:r w:rsidR="001C125E">
        <w:rPr>
          <w:rFonts w:cs="Times New Roman"/>
          <w:szCs w:val="24"/>
        </w:rPr>
        <w:t>ee</w:t>
      </w:r>
      <w:r w:rsidR="001C125E" w:rsidRPr="00570E3A">
        <w:rPr>
          <w:rFonts w:cs="Times New Roman"/>
          <w:szCs w:val="24"/>
        </w:rPr>
        <w:t>k</w:t>
      </w:r>
      <w:r w:rsidR="001C125E">
        <w:rPr>
          <w:rFonts w:cs="Times New Roman"/>
          <w:szCs w:val="24"/>
        </w:rPr>
        <w:t>s</w:t>
      </w:r>
      <w:r w:rsidR="001C125E" w:rsidRPr="00570E3A">
        <w:rPr>
          <w:rFonts w:cs="Times New Roman"/>
          <w:szCs w:val="24"/>
        </w:rPr>
        <w:t xml:space="preserve"> of age, for a total of 10 mg tamoxifen/mouse. Animals were allowed to recover for ≥</w:t>
      </w:r>
      <w:r w:rsidR="001C125E">
        <w:rPr>
          <w:rFonts w:cs="Times New Roman"/>
          <w:szCs w:val="24"/>
        </w:rPr>
        <w:t>4</w:t>
      </w:r>
      <w:r w:rsidR="001C125E" w:rsidRPr="00570E3A">
        <w:rPr>
          <w:rFonts w:cs="Times New Roman"/>
          <w:szCs w:val="24"/>
        </w:rPr>
        <w:t xml:space="preserve"> w</w:t>
      </w:r>
      <w:r w:rsidR="001C125E">
        <w:rPr>
          <w:rFonts w:cs="Times New Roman"/>
          <w:szCs w:val="24"/>
        </w:rPr>
        <w:t>ee</w:t>
      </w:r>
      <w:r w:rsidR="001C125E" w:rsidRPr="00570E3A">
        <w:rPr>
          <w:rFonts w:cs="Times New Roman"/>
          <w:szCs w:val="24"/>
        </w:rPr>
        <w:t>k</w:t>
      </w:r>
      <w:r w:rsidR="001C125E">
        <w:rPr>
          <w:rFonts w:cs="Times New Roman"/>
          <w:szCs w:val="24"/>
        </w:rPr>
        <w:t>s</w:t>
      </w:r>
      <w:r w:rsidR="001C125E" w:rsidRPr="00570E3A">
        <w:rPr>
          <w:rFonts w:cs="Times New Roman"/>
          <w:szCs w:val="24"/>
        </w:rPr>
        <w:t xml:space="preserve"> to allow residual tamoxifen to leave the system before experiments/tissue isolation.</w:t>
      </w:r>
      <w:r w:rsidR="00205C09">
        <w:rPr>
          <w:rFonts w:cs="Times New Roman"/>
          <w:szCs w:val="24"/>
        </w:rPr>
        <w:t xml:space="preserve"> </w:t>
      </w:r>
    </w:p>
    <w:p w14:paraId="195BA1E9" w14:textId="351501FA" w:rsidR="001C125E" w:rsidRDefault="001C125E" w:rsidP="001C125E">
      <w:r>
        <w:t xml:space="preserve">For STZ induced diabetes, at 7 weeks of age, glucose was taken for all mice after a 2 hour fast to establish a baseline glucose level. At 8 weeks, mice were injected interperitoneally with filter sterilized 200 mg/kg STZ (Sigma, Cat. # 85882) in 0.1 M Citrate buffer to initiate severe hyperglycemia, or simply given vehicle control. Mice were fasted for 4 hours prior to injection, and provided with 10% sucrose for drinking water overnight. Glucose was again taken a week after injection after a 2 hour fast to confirm hyperglycemia with blood glucose above 300 mg/dL. For the duration of experiment, blood glucose and body weight were checked twice a week with a glucose meter (Bayer, </w:t>
      </w:r>
      <w:r w:rsidRPr="00D30AEB">
        <w:t>Pittsburgh, PA</w:t>
      </w:r>
      <w:r>
        <w:t xml:space="preserve">, cat. # </w:t>
      </w:r>
      <w:r w:rsidRPr="00D30AEB">
        <w:t>9628</w:t>
      </w:r>
      <w:r>
        <w:t xml:space="preserve">) and diabetic mice were injected with up to 1 unit of Humulin-N </w:t>
      </w:r>
      <w:r w:rsidRPr="008608DB">
        <w:t>(Ely Lilly, USA)</w:t>
      </w:r>
      <w:r>
        <w:t xml:space="preserve"> as necessary to maintain body weight. Maximum measurement for glucose meter saturated at 600 mg/dL, so measurements about that value were recorded as max value. To examine the effects of normalizing glucose levels in diabetic mice and eliminating the effects of vascular injury from STZ directly causing vascular remodeling, the insulin treatment group was implanted with </w:t>
      </w:r>
      <w:proofErr w:type="spellStart"/>
      <w:r>
        <w:t>Linbit</w:t>
      </w:r>
      <w:proofErr w:type="spellEnd"/>
      <w:r>
        <w:t xml:space="preserve"> insulin </w:t>
      </w:r>
      <w:r w:rsidRPr="008E02AA">
        <w:rPr>
          <w:szCs w:val="24"/>
        </w:rPr>
        <w:t>implants (</w:t>
      </w:r>
      <w:proofErr w:type="spellStart"/>
      <w:r w:rsidRPr="008E02AA">
        <w:rPr>
          <w:szCs w:val="24"/>
        </w:rPr>
        <w:t>Linbit</w:t>
      </w:r>
      <w:proofErr w:type="spellEnd"/>
      <w:r w:rsidRPr="008E02AA">
        <w:rPr>
          <w:szCs w:val="24"/>
        </w:rPr>
        <w:t>,</w:t>
      </w:r>
      <w:r w:rsidRPr="008E02AA">
        <w:rPr>
          <w:color w:val="000000"/>
          <w:szCs w:val="24"/>
          <w:shd w:val="clear" w:color="auto" w:fill="FFFFFF"/>
        </w:rPr>
        <w:t xml:space="preserve"> Cat. # Pr-1-B, Ontario, Canada</w:t>
      </w:r>
      <w:r w:rsidRPr="008E02AA">
        <w:rPr>
          <w:szCs w:val="24"/>
        </w:rPr>
        <w:t>)</w:t>
      </w:r>
      <w:r>
        <w:rPr>
          <w:szCs w:val="24"/>
        </w:rPr>
        <w:t xml:space="preserve"> </w:t>
      </w:r>
      <w:r>
        <w:t>via subcutaneous injection following manufacturer’s instructions. Additional implants were added through time to bring blood glucose levels below 300 mg/dL in two consecutive readings in order to normalize hyperglycemia. Mice without insulin implants (STZ diabetic and vehicle) were given sham injections to mimic the injury from implantation.</w:t>
      </w:r>
    </w:p>
    <w:p w14:paraId="6E503D94" w14:textId="1EC58A50" w:rsidR="00EC547D" w:rsidRDefault="00EC547D" w:rsidP="00EC547D">
      <w:pPr>
        <w:pStyle w:val="Heading2"/>
      </w:pPr>
      <w:r>
        <w:lastRenderedPageBreak/>
        <w:t xml:space="preserve">Supplementary </w:t>
      </w:r>
      <w:r w:rsidR="002F026B">
        <w:rPr>
          <w:rFonts w:cs="Times New Roman"/>
        </w:rPr>
        <w:t>Notes</w:t>
      </w:r>
      <w:r>
        <w:t xml:space="preserve"> 2: </w:t>
      </w:r>
      <w:r w:rsidR="00E32EFD">
        <w:t>Intravitreal</w:t>
      </w:r>
      <w:r>
        <w:t xml:space="preserve"> Injections</w:t>
      </w:r>
      <w:r w:rsidR="00E32EFD">
        <w:t xml:space="preserve"> of Ang2 and PDGF-BB</w:t>
      </w:r>
    </w:p>
    <w:p w14:paraId="70322DE2" w14:textId="7FE7B55F" w:rsidR="001C125E" w:rsidRDefault="00EC547D" w:rsidP="001C125E">
      <w:r>
        <w:t>Mice</w:t>
      </w:r>
      <w:r w:rsidRPr="00CB2753">
        <w:t xml:space="preserve"> were anesthetized with using inhalation of 2% isoflurane/oxygen (Henry Schein Animal Health, Dublin, Ohio, cat. # 029405). A drop of sterile 0.5% Proparacaine hydrochloride ophthalmic solution (Henry Schein Animal Health, Dublin, Ohio, cat. # 1127199) was added as a topical anesthetic to numb the eye before injection. For the Ang2 experiments, mice were intravitreally injected in one eye with 1.5 µL of 0.67 µg/µL of carrier-free recombinant human Ang2 (R and D Biosystems, Minneapolis, MN, cat. # 623-AN-025/CF), in PBS, and the other eye 1.5 µL of PBS to act as contralateral control. For the PDGF-BB experiments, mice were intravitreally injected in one eye with 1.5 µL of 2 µg/µL of carrier free recombinant mouse PDGF-BB (Shenandoah Biotechnology, Warwick, PA, cat. # 200-58-100ug) in sterile water, and the other eye 1.5 µL of sterile water to act as contralateral control. To carry out intravitreal injections, a 30G needle (Becton Dickerson, Franklin Lakes, NJ, cat. # 305128) was used to initially poke through the sclera, followed the injection with a Hamilton syringe (Hamilton Company, Reno, NV 7633-01,65 RN) with a Hamilton 33G needle (Hamilton Company, Reno, NV, cat. #7803-05, PT4). </w:t>
      </w:r>
    </w:p>
    <w:p w14:paraId="044A2C46" w14:textId="518AFBEF" w:rsidR="00E32EFD" w:rsidRDefault="00E32EFD" w:rsidP="00E32EFD">
      <w:pPr>
        <w:pStyle w:val="Heading2"/>
      </w:pPr>
      <w:r>
        <w:t xml:space="preserve">Supplementary </w:t>
      </w:r>
      <w:r w:rsidR="002F026B">
        <w:rPr>
          <w:rFonts w:cs="Times New Roman"/>
        </w:rPr>
        <w:t>Notes</w:t>
      </w:r>
      <w:r>
        <w:t xml:space="preserve"> 3: Retina </w:t>
      </w:r>
      <w:r w:rsidR="00B07D6E">
        <w:t xml:space="preserve">Imaging, </w:t>
      </w:r>
      <w:r>
        <w:t>Harvest</w:t>
      </w:r>
      <w:r w:rsidR="00B07D6E">
        <w:t>,</w:t>
      </w:r>
      <w:r>
        <w:t xml:space="preserve"> and Immunostaining</w:t>
      </w:r>
    </w:p>
    <w:p w14:paraId="386CCC72" w14:textId="78351274" w:rsidR="00B07D6E" w:rsidRPr="00B07D6E" w:rsidRDefault="00B07D6E" w:rsidP="001C125E">
      <w:r w:rsidRPr="002565AD">
        <w:rPr>
          <w:rFonts w:cs="Times New Roman"/>
          <w:color w:val="222222"/>
          <w:spacing w:val="3"/>
        </w:rPr>
        <w:t>For</w:t>
      </w:r>
      <w:r>
        <w:rPr>
          <w:rFonts w:cs="Times New Roman"/>
          <w:color w:val="222222"/>
          <w:spacing w:val="3"/>
        </w:rPr>
        <w:t xml:space="preserve"> live imaging</w:t>
      </w:r>
      <w:r w:rsidRPr="002565AD">
        <w:rPr>
          <w:rFonts w:cs="Times New Roman"/>
          <w:color w:val="222222"/>
          <w:spacing w:val="3"/>
        </w:rPr>
        <w:t xml:space="preserve">, animals were anesthetized with an intraperitoneal injection of ketamine/xylazine/atropine (60/4/0.2 mg/kg body weight) (Zoetis; Kalamazoo, MI/West-Ward; Eatontown, NJ/Lloyd Laboratories; Shenandoah, IA). A drop of sterile 0.5% Proparacaine hydrochloride ophthalmic solution was added as a topical anesthetic to numb the eye before injection. To allow visualization of vascular endothelium, anesthetized mice were administered a retro-orbital injection of labeled </w:t>
      </w:r>
      <w:proofErr w:type="spellStart"/>
      <w:r w:rsidRPr="002565AD">
        <w:rPr>
          <w:rFonts w:cs="Times New Roman"/>
          <w:color w:val="222222"/>
          <w:spacing w:val="3"/>
        </w:rPr>
        <w:t>isolectin</w:t>
      </w:r>
      <w:proofErr w:type="spellEnd"/>
      <w:r w:rsidRPr="002565AD">
        <w:rPr>
          <w:rFonts w:cs="Times New Roman"/>
          <w:color w:val="222222"/>
          <w:spacing w:val="3"/>
        </w:rPr>
        <w:t> (IB4-Alexa647; Life Technologies, Carlsbad, CA) 30 minutes before sacrifice.</w:t>
      </w:r>
      <w:r>
        <w:rPr>
          <w:rFonts w:cs="Times New Roman"/>
          <w:color w:val="222222"/>
          <w:spacing w:val="3"/>
        </w:rPr>
        <w:t xml:space="preserve"> Animals were then mounted on a microscope stage and imaged with a</w:t>
      </w:r>
      <w:r w:rsidRPr="006D0DCF">
        <w:rPr>
          <w:rFonts w:cs="Times New Roman"/>
          <w:color w:val="222222"/>
          <w:spacing w:val="3"/>
        </w:rPr>
        <w:t xml:space="preserve"> Nikon point scanning confocal (</w:t>
      </w:r>
      <w:r w:rsidRPr="006D0DCF">
        <w:rPr>
          <w:rFonts w:cs="Times New Roman"/>
          <w:color w:val="222222"/>
          <w:spacing w:val="3"/>
          <w:shd w:val="clear" w:color="auto" w:fill="FFFFFF"/>
        </w:rPr>
        <w:t xml:space="preserve">Nikon Instruments Incorporated, Melville, NY; Model TE200-E2; </w:t>
      </w:r>
      <w:r>
        <w:rPr>
          <w:rFonts w:cs="Times New Roman"/>
          <w:color w:val="222222"/>
          <w:spacing w:val="3"/>
          <w:shd w:val="clear" w:color="auto" w:fill="FFFFFF"/>
        </w:rPr>
        <w:t>1</w:t>
      </w:r>
      <w:r w:rsidRPr="006D0DCF">
        <w:rPr>
          <w:rFonts w:cs="Times New Roman"/>
          <w:color w:val="222222"/>
          <w:spacing w:val="3"/>
          <w:shd w:val="clear" w:color="auto" w:fill="FFFFFF"/>
        </w:rPr>
        <w:t>0X air objective)</w:t>
      </w:r>
      <w:r>
        <w:rPr>
          <w:rFonts w:cs="Times New Roman"/>
          <w:color w:val="222222"/>
          <w:spacing w:val="3"/>
          <w:shd w:val="clear" w:color="auto" w:fill="FFFFFF"/>
        </w:rPr>
        <w:t xml:space="preserve"> while </w:t>
      </w:r>
      <w:r>
        <w:rPr>
          <w:rFonts w:cs="Times New Roman"/>
          <w:color w:val="222222"/>
          <w:spacing w:val="3"/>
          <w:shd w:val="clear" w:color="auto" w:fill="FFFFFF"/>
        </w:rPr>
        <w:lastRenderedPageBreak/>
        <w:t>kept unconscious with isoflurane anesthesia and a heating pad to maintain body weight</w:t>
      </w:r>
      <w:r w:rsidRPr="006D0DCF">
        <w:rPr>
          <w:rFonts w:cs="Times New Roman"/>
          <w:color w:val="222222"/>
          <w:spacing w:val="3"/>
          <w:shd w:val="clear" w:color="auto" w:fill="FFFFFF"/>
        </w:rPr>
        <w:t>.</w:t>
      </w:r>
      <w:r>
        <w:rPr>
          <w:rFonts w:cs="Times New Roman"/>
          <w:color w:val="222222"/>
          <w:spacing w:val="3"/>
          <w:shd w:val="clear" w:color="auto" w:fill="FFFFFF"/>
        </w:rPr>
        <w:t xml:space="preserve"> Mice were sacrificed at the end of the imaging session. For histological imaging, </w:t>
      </w:r>
      <w:r>
        <w:t>high resolution imaging was carried out on a Zeiss LSM 880 with a 63x Plan-Achromat/1.40 oil DIC. Imaging for quantification of vasculature and pericyte phenotype was carried out with a Nikon</w:t>
      </w:r>
      <w:r w:rsidRPr="00DB1DAF">
        <w:rPr>
          <w:rFonts w:cs="Times New Roman"/>
          <w:color w:val="222222"/>
          <w:spacing w:val="3"/>
        </w:rPr>
        <w:t xml:space="preserve"> </w:t>
      </w:r>
      <w:r w:rsidRPr="006D0DCF">
        <w:rPr>
          <w:rFonts w:cs="Times New Roman"/>
          <w:color w:val="222222"/>
          <w:spacing w:val="3"/>
        </w:rPr>
        <w:t>point scanning confocal (</w:t>
      </w:r>
      <w:r w:rsidRPr="006D0DCF">
        <w:rPr>
          <w:rFonts w:cs="Times New Roman"/>
          <w:color w:val="222222"/>
          <w:spacing w:val="3"/>
          <w:shd w:val="clear" w:color="auto" w:fill="FFFFFF"/>
        </w:rPr>
        <w:t>Nikon Instruments Incorporated, Melville, NY; Model TE200-E2</w:t>
      </w:r>
      <w:r>
        <w:rPr>
          <w:rFonts w:cs="Times New Roman"/>
          <w:color w:val="222222"/>
          <w:spacing w:val="3"/>
          <w:shd w:val="clear" w:color="auto" w:fill="FFFFFF"/>
        </w:rPr>
        <w:t>) with a Plan Flour 20X/0.75 oil immersion objective</w:t>
      </w:r>
      <w:r w:rsidRPr="006D0DCF">
        <w:rPr>
          <w:rFonts w:cs="Times New Roman"/>
          <w:color w:val="222222"/>
          <w:spacing w:val="3"/>
          <w:shd w:val="clear" w:color="auto" w:fill="FFFFFF"/>
        </w:rPr>
        <w:t>.</w:t>
      </w:r>
      <w:r>
        <w:rPr>
          <w:rFonts w:cs="Times New Roman"/>
          <w:color w:val="222222"/>
          <w:spacing w:val="3"/>
          <w:shd w:val="clear" w:color="auto" w:fill="FFFFFF"/>
        </w:rPr>
        <w:t xml:space="preserve"> </w:t>
      </w:r>
    </w:p>
    <w:p w14:paraId="7725E835" w14:textId="57E0A356" w:rsidR="00E32EFD" w:rsidRPr="00B07D6E" w:rsidRDefault="00E32EFD" w:rsidP="001C125E">
      <w:r>
        <w:rPr>
          <w:rFonts w:cs="Times New Roman"/>
          <w:color w:val="222222"/>
          <w:spacing w:val="3"/>
        </w:rPr>
        <w:t xml:space="preserve">Mice were sacrificed via CO2 asphyxiation with cervical dislocation for secondary sacrifice, eyes enucleated, and incubated in 4% PFA for 10 minutes, </w:t>
      </w:r>
      <w:r w:rsidR="00B63627">
        <w:rPr>
          <w:rFonts w:cs="Times New Roman"/>
          <w:color w:val="222222"/>
          <w:spacing w:val="3"/>
        </w:rPr>
        <w:t xml:space="preserve">and </w:t>
      </w:r>
      <w:r>
        <w:rPr>
          <w:rFonts w:cs="Times New Roman"/>
          <w:color w:val="222222"/>
          <w:spacing w:val="3"/>
        </w:rPr>
        <w:t xml:space="preserve">retinas </w:t>
      </w:r>
      <w:r w:rsidR="00B63627">
        <w:rPr>
          <w:rFonts w:cs="Times New Roman"/>
          <w:color w:val="222222"/>
          <w:spacing w:val="3"/>
        </w:rPr>
        <w:t xml:space="preserve">surgically </w:t>
      </w:r>
      <w:r>
        <w:rPr>
          <w:rFonts w:cs="Times New Roman"/>
          <w:color w:val="222222"/>
          <w:spacing w:val="3"/>
        </w:rPr>
        <w:t>isolated</w:t>
      </w:r>
      <w:r w:rsidR="00B63627">
        <w:rPr>
          <w:rFonts w:cs="Times New Roman"/>
          <w:color w:val="222222"/>
          <w:spacing w:val="3"/>
        </w:rPr>
        <w:t xml:space="preserve">. Tissue was permeabilized with 1 mg/mL </w:t>
      </w:r>
      <w:r w:rsidR="00B63627" w:rsidRPr="00B63627">
        <w:rPr>
          <w:rFonts w:cs="Times New Roman"/>
          <w:color w:val="222222"/>
          <w:spacing w:val="3"/>
        </w:rPr>
        <w:t>digitonin</w:t>
      </w:r>
      <w:r w:rsidR="00B63627">
        <w:rPr>
          <w:rFonts w:cs="Times New Roman"/>
          <w:color w:val="222222"/>
          <w:spacing w:val="3"/>
        </w:rPr>
        <w:t xml:space="preserve"> for 2 hours (</w:t>
      </w:r>
      <w:r w:rsidR="00E04CFC">
        <w:rPr>
          <w:rFonts w:cs="Times New Roman"/>
          <w:color w:val="222222"/>
          <w:spacing w:val="3"/>
        </w:rPr>
        <w:t xml:space="preserve">Sigma, </w:t>
      </w:r>
      <w:r w:rsidR="00E66410">
        <w:rPr>
          <w:rFonts w:cs="Times New Roman"/>
          <w:color w:val="222222"/>
          <w:spacing w:val="3"/>
        </w:rPr>
        <w:t>cat. #</w:t>
      </w:r>
      <w:r w:rsidR="00E04CFC" w:rsidRPr="00E04CFC">
        <w:t xml:space="preserve"> </w:t>
      </w:r>
      <w:r w:rsidR="00E04CFC" w:rsidRPr="00E04CFC">
        <w:rPr>
          <w:rFonts w:cs="Times New Roman"/>
          <w:color w:val="222222"/>
          <w:spacing w:val="3"/>
        </w:rPr>
        <w:t>D141-500MG</w:t>
      </w:r>
      <w:r w:rsidR="00B63627">
        <w:rPr>
          <w:rFonts w:cs="Times New Roman"/>
          <w:color w:val="222222"/>
          <w:spacing w:val="3"/>
        </w:rPr>
        <w:t>)</w:t>
      </w:r>
      <w:r w:rsidR="007F1CA6">
        <w:rPr>
          <w:rFonts w:cs="Times New Roman"/>
          <w:color w:val="222222"/>
          <w:spacing w:val="3"/>
        </w:rPr>
        <w:t>,</w:t>
      </w:r>
      <w:r>
        <w:rPr>
          <w:rFonts w:cs="Times New Roman"/>
          <w:color w:val="222222"/>
          <w:spacing w:val="3"/>
        </w:rPr>
        <w:t xml:space="preserve"> </w:t>
      </w:r>
      <w:proofErr w:type="spellStart"/>
      <w:r>
        <w:rPr>
          <w:rFonts w:cs="Times New Roman"/>
          <w:color w:val="222222"/>
          <w:spacing w:val="3"/>
        </w:rPr>
        <w:t>immunostained</w:t>
      </w:r>
      <w:proofErr w:type="spellEnd"/>
      <w:r w:rsidR="007F1CA6">
        <w:rPr>
          <w:rFonts w:cs="Times New Roman"/>
          <w:color w:val="222222"/>
          <w:spacing w:val="3"/>
        </w:rPr>
        <w:t xml:space="preserve"> with the same concentration of digitonin for all steps left overnight at 4 </w:t>
      </w:r>
      <w:r w:rsidR="007F1CA6" w:rsidRPr="007F1CA6">
        <w:rPr>
          <w:rFonts w:cs="Times New Roman"/>
          <w:color w:val="222222"/>
          <w:spacing w:val="3"/>
        </w:rPr>
        <w:t>°</w:t>
      </w:r>
      <w:r w:rsidR="007F1CA6">
        <w:rPr>
          <w:rFonts w:cs="Times New Roman"/>
          <w:color w:val="222222"/>
          <w:spacing w:val="3"/>
        </w:rPr>
        <w:t>C, and washed with 0.1% saponin solution in between</w:t>
      </w:r>
      <w:r w:rsidR="004A5590">
        <w:rPr>
          <w:rFonts w:cs="Times New Roman"/>
          <w:color w:val="222222"/>
          <w:spacing w:val="3"/>
        </w:rPr>
        <w:t xml:space="preserve"> (Sigma, cat. # </w:t>
      </w:r>
      <w:r w:rsidR="004A5590" w:rsidRPr="004A5590">
        <w:rPr>
          <w:rFonts w:cs="Times New Roman"/>
          <w:color w:val="222222"/>
          <w:spacing w:val="3"/>
        </w:rPr>
        <w:t>84510-100G</w:t>
      </w:r>
      <w:r w:rsidR="004A5590">
        <w:rPr>
          <w:rFonts w:cs="Times New Roman"/>
          <w:color w:val="222222"/>
          <w:spacing w:val="3"/>
        </w:rPr>
        <w:t>)</w:t>
      </w:r>
      <w:r>
        <w:rPr>
          <w:rFonts w:cs="Times New Roman"/>
          <w:color w:val="222222"/>
          <w:spacing w:val="3"/>
        </w:rPr>
        <w:t xml:space="preserve">. Primary antibodies are listed in Table 1, and secondary antibodies in </w:t>
      </w:r>
      <w:r w:rsidR="00263305">
        <w:rPr>
          <w:rFonts w:cs="Times New Roman"/>
          <w:color w:val="222222"/>
          <w:spacing w:val="3"/>
        </w:rPr>
        <w:t>Table</w:t>
      </w:r>
      <w:r>
        <w:rPr>
          <w:rFonts w:cs="Times New Roman"/>
          <w:color w:val="222222"/>
          <w:spacing w:val="3"/>
        </w:rPr>
        <w:t xml:space="preserve"> 2. For staining with NG2 and Col-IV, retinas were subject to proteinase-K digestion</w:t>
      </w:r>
      <w:r w:rsidR="003629DA">
        <w:rPr>
          <w:rFonts w:cs="Times New Roman"/>
          <w:color w:val="222222"/>
          <w:spacing w:val="3"/>
        </w:rPr>
        <w:t xml:space="preserve"> </w:t>
      </w:r>
      <w:r w:rsidR="003629DA" w:rsidRPr="003629DA">
        <w:rPr>
          <w:rFonts w:cs="Times New Roman"/>
          <w:color w:val="222222"/>
          <w:spacing w:val="3"/>
        </w:rPr>
        <w:t xml:space="preserve">(Roche, cat. </w:t>
      </w:r>
      <w:r w:rsidR="003E2C89">
        <w:rPr>
          <w:rFonts w:cs="Times New Roman"/>
          <w:color w:val="222222"/>
          <w:spacing w:val="3"/>
        </w:rPr>
        <w:t>#</w:t>
      </w:r>
      <w:r w:rsidR="003629DA" w:rsidRPr="003629DA">
        <w:rPr>
          <w:rFonts w:cs="Times New Roman"/>
          <w:color w:val="222222"/>
          <w:spacing w:val="3"/>
        </w:rPr>
        <w:t xml:space="preserve"> 03</w:t>
      </w:r>
      <w:r w:rsidR="003E2C89">
        <w:rPr>
          <w:rFonts w:cs="Times New Roman"/>
          <w:color w:val="222222"/>
          <w:spacing w:val="3"/>
        </w:rPr>
        <w:t>-</w:t>
      </w:r>
      <w:r w:rsidR="003629DA" w:rsidRPr="003629DA">
        <w:rPr>
          <w:rFonts w:cs="Times New Roman"/>
          <w:color w:val="222222"/>
          <w:spacing w:val="3"/>
        </w:rPr>
        <w:t>115</w:t>
      </w:r>
      <w:r w:rsidR="003E2C89">
        <w:rPr>
          <w:rFonts w:cs="Times New Roman"/>
          <w:color w:val="222222"/>
          <w:spacing w:val="3"/>
        </w:rPr>
        <w:t>-</w:t>
      </w:r>
      <w:r w:rsidR="003629DA" w:rsidRPr="003629DA">
        <w:rPr>
          <w:rFonts w:cs="Times New Roman"/>
          <w:color w:val="222222"/>
          <w:spacing w:val="3"/>
        </w:rPr>
        <w:t>828</w:t>
      </w:r>
      <w:r w:rsidR="003E2C89">
        <w:rPr>
          <w:rFonts w:cs="Times New Roman"/>
          <w:color w:val="222222"/>
          <w:spacing w:val="3"/>
        </w:rPr>
        <w:t>-</w:t>
      </w:r>
      <w:r w:rsidR="003629DA" w:rsidRPr="003629DA">
        <w:rPr>
          <w:rFonts w:cs="Times New Roman"/>
          <w:color w:val="222222"/>
          <w:spacing w:val="3"/>
        </w:rPr>
        <w:t>001)</w:t>
      </w:r>
      <w:r>
        <w:rPr>
          <w:rFonts w:cs="Times New Roman"/>
          <w:color w:val="222222"/>
          <w:spacing w:val="3"/>
        </w:rPr>
        <w:t xml:space="preserve"> after fixation to aid with antibody penetration</w:t>
      </w:r>
      <w:r w:rsidR="00173E23">
        <w:rPr>
          <w:rFonts w:cs="Times New Roman"/>
          <w:color w:val="222222"/>
          <w:spacing w:val="3"/>
        </w:rPr>
        <w:t xml:space="preserve"> (see main text for reference)</w:t>
      </w:r>
      <w:r>
        <w:rPr>
          <w:rFonts w:cs="Times New Roman"/>
          <w:color w:val="222222"/>
          <w:spacing w:val="3"/>
        </w:rPr>
        <w:t>.</w:t>
      </w:r>
      <w:r w:rsidR="00B07D6E">
        <w:rPr>
          <w:rFonts w:cs="Times New Roman"/>
          <w:color w:val="222222"/>
          <w:spacing w:val="3"/>
        </w:rPr>
        <w:t xml:space="preserve"> </w:t>
      </w:r>
      <w:r w:rsidR="00B07D6E">
        <w:rPr>
          <w:rFonts w:cs="Times New Roman"/>
          <w:color w:val="222222"/>
          <w:spacing w:val="3"/>
          <w:shd w:val="clear" w:color="auto" w:fill="FFFFFF"/>
        </w:rPr>
        <w:t xml:space="preserve">All images were acquired from deep retinal plexus approximately mid-distance radially between the optic disk and peripheral edge of the retina. </w:t>
      </w:r>
      <w:r w:rsidR="00B07D6E">
        <w:t xml:space="preserve">For experiments with contralateral eye control, 4 fields of view per retina, 530 </w:t>
      </w:r>
      <w:r w:rsidR="00B07D6E">
        <w:rPr>
          <w:rFonts w:cs="Times New Roman"/>
        </w:rPr>
        <w:t>µ</w:t>
      </w:r>
      <w:r w:rsidR="00B07D6E">
        <w:t>m square, were acquired of the retina deep plexus, at an intermediate radial distance between the optic disk and peripheral retina. For experiments without a contralateral control, 5 fields of view per mouse were used for quantification.</w:t>
      </w:r>
    </w:p>
    <w:p w14:paraId="12992E6F" w14:textId="5A5C7D9F" w:rsidR="00B430EF" w:rsidRDefault="00B430EF" w:rsidP="00644B38">
      <w:pPr>
        <w:pStyle w:val="Heading2"/>
      </w:pPr>
      <w:bookmarkStart w:id="1" w:name="_Hlk15298080"/>
      <w:r>
        <w:rPr>
          <w:rFonts w:cs="Times New Roman"/>
        </w:rPr>
        <w:t xml:space="preserve">Supplementary </w:t>
      </w:r>
      <w:r w:rsidR="002F026B">
        <w:rPr>
          <w:rFonts w:cs="Times New Roman"/>
        </w:rPr>
        <w:t>Notes</w:t>
      </w:r>
      <w:r>
        <w:rPr>
          <w:rFonts w:cs="Times New Roman"/>
        </w:rPr>
        <w:t xml:space="preserve"> </w:t>
      </w:r>
      <w:r w:rsidR="00205C09">
        <w:rPr>
          <w:rFonts w:cs="Times New Roman"/>
        </w:rPr>
        <w:t>4</w:t>
      </w:r>
      <w:r>
        <w:rPr>
          <w:rFonts w:cs="Times New Roman"/>
        </w:rPr>
        <w:t>:</w:t>
      </w:r>
      <w:bookmarkStart w:id="2" w:name="_Hlk7190851"/>
      <w:r w:rsidR="000E6770">
        <w:rPr>
          <w:rFonts w:cs="Times New Roman"/>
        </w:rPr>
        <w:t xml:space="preserve"> Quantifying </w:t>
      </w:r>
      <w:r>
        <w:t xml:space="preserve">Pericyte </w:t>
      </w:r>
      <w:r w:rsidR="00456373">
        <w:t xml:space="preserve">and Vascular </w:t>
      </w:r>
      <w:r>
        <w:t>Phenotype</w:t>
      </w:r>
      <w:bookmarkEnd w:id="2"/>
    </w:p>
    <w:bookmarkEnd w:id="1"/>
    <w:p w14:paraId="7E771EA1" w14:textId="77777777" w:rsidR="003C4368" w:rsidRDefault="00B430EF" w:rsidP="00844573">
      <w:pPr>
        <w:rPr>
          <w:rFonts w:cs="Times New Roman"/>
        </w:rPr>
      </w:pPr>
      <w:r>
        <w:rPr>
          <w:rFonts w:cs="Times New Roman"/>
        </w:rPr>
        <w:t xml:space="preserve">Pericytes were defined by NG2 cell soma that colocalized with a Col-IV basement membrane- for all stimuli investigated, there were no NG2+ cell somas that were negative for Col-IV. Pericytes were split into several subpopulations based on their morphology relative to the vasculature. Pericytes that had all cell processes and cell soma attached to a vasculature was classified as an attached pericyte. This </w:t>
      </w:r>
      <w:r>
        <w:rPr>
          <w:rFonts w:cs="Times New Roman"/>
        </w:rPr>
        <w:lastRenderedPageBreak/>
        <w:t>subpopulation was split further between pericytes connected to an empty basement membrane bridge (negative for endothelial marker and pericyte marker) and those that were not. Pericytes that had a process or cell soma bridging capillaries were classified as pericyte bridges. For pericyte subpopulation densities, the fraction of pericyte bridges is reported as well as the fraction of attached pericytes. Note that this is redundant data (same p values for both subpopulations) since they are fractions that together form the total pericyte population. We reported both values to convey the relative change in effect sizes across study groups.</w:t>
      </w:r>
      <w:r w:rsidR="00B6058A">
        <w:rPr>
          <w:rFonts w:cs="Times New Roman"/>
        </w:rPr>
        <w:t xml:space="preserve"> </w:t>
      </w:r>
    </w:p>
    <w:p w14:paraId="443D7F15" w14:textId="636CE48B" w:rsidR="00844573" w:rsidRDefault="00B6058A" w:rsidP="00844573">
      <w:pPr>
        <w:rPr>
          <w:rFonts w:cs="Times New Roman"/>
        </w:rPr>
      </w:pPr>
      <w:r>
        <w:rPr>
          <w:rFonts w:cs="Times New Roman"/>
        </w:rPr>
        <w:t xml:space="preserve">In </w:t>
      </w:r>
      <w:r w:rsidR="001D0F38">
        <w:rPr>
          <w:rFonts w:cs="Times New Roman"/>
        </w:rPr>
        <w:t>F</w:t>
      </w:r>
      <w:r>
        <w:rPr>
          <w:rFonts w:cs="Times New Roman"/>
        </w:rPr>
        <w:t>igure</w:t>
      </w:r>
      <w:r w:rsidR="001D0F38">
        <w:rPr>
          <w:rFonts w:cs="Times New Roman"/>
        </w:rPr>
        <w:t xml:space="preserve"> 2</w:t>
      </w:r>
      <w:r w:rsidR="0072097B">
        <w:rPr>
          <w:rFonts w:cs="Times New Roman"/>
        </w:rPr>
        <w:t xml:space="preserve">, thickness of basement membrane segments </w:t>
      </w:r>
      <w:r w:rsidR="001D0F38">
        <w:rPr>
          <w:rFonts w:cs="Times New Roman"/>
        </w:rPr>
        <w:t>was</w:t>
      </w:r>
      <w:r w:rsidR="0072097B">
        <w:rPr>
          <w:rFonts w:cs="Times New Roman"/>
        </w:rPr>
        <w:t xml:space="preserve"> measured by manually outlining them in ImageJ, exporting the polygon </w:t>
      </w:r>
      <w:r w:rsidR="00FF4E22">
        <w:rPr>
          <w:rFonts w:cs="Times New Roman"/>
        </w:rPr>
        <w:t xml:space="preserve">coordinates </w:t>
      </w:r>
      <w:r w:rsidR="0072097B">
        <w:rPr>
          <w:rFonts w:cs="Times New Roman"/>
        </w:rPr>
        <w:t xml:space="preserve">into MATLAB, converted into a binary mask, and calculating the diameter using the </w:t>
      </w:r>
      <w:r w:rsidR="00FF4E22">
        <w:rPr>
          <w:rFonts w:cs="Times New Roman"/>
        </w:rPr>
        <w:t>Euclidean</w:t>
      </w:r>
      <w:r w:rsidR="0072097B">
        <w:rPr>
          <w:rFonts w:cs="Times New Roman"/>
        </w:rPr>
        <w:t xml:space="preserve"> distance transform of the complement of the mask.</w:t>
      </w:r>
      <w:r w:rsidR="00223DC9">
        <w:rPr>
          <w:rFonts w:cs="Times New Roman"/>
        </w:rPr>
        <w:t xml:space="preserve"> For </w:t>
      </w:r>
      <w:r w:rsidR="001D0F38">
        <w:rPr>
          <w:rFonts w:cs="Times New Roman"/>
        </w:rPr>
        <w:t>F</w:t>
      </w:r>
      <w:r w:rsidR="00223DC9">
        <w:rPr>
          <w:rFonts w:cs="Times New Roman"/>
        </w:rPr>
        <w:t xml:space="preserve">igure 3, </w:t>
      </w:r>
      <w:r w:rsidR="001D0F38">
        <w:rPr>
          <w:rFonts w:cs="Times New Roman"/>
        </w:rPr>
        <w:t xml:space="preserve">the basement membrane segments were </w:t>
      </w:r>
      <w:proofErr w:type="spellStart"/>
      <w:r w:rsidR="001D0F38">
        <w:rPr>
          <w:rFonts w:cs="Times New Roman"/>
        </w:rPr>
        <w:t>thresholded</w:t>
      </w:r>
      <w:proofErr w:type="spellEnd"/>
      <w:r w:rsidR="001D0F38">
        <w:rPr>
          <w:rFonts w:cs="Times New Roman"/>
        </w:rPr>
        <w:t xml:space="preserve"> using local background subtraction and diameter calculated with the same method.</w:t>
      </w:r>
    </w:p>
    <w:p w14:paraId="3410AF52" w14:textId="0E803D28" w:rsidR="00844573" w:rsidRDefault="00844573" w:rsidP="00844573">
      <w:pPr>
        <w:rPr>
          <w:rFonts w:cs="Times New Roman"/>
        </w:rPr>
      </w:pPr>
    </w:p>
    <w:p w14:paraId="4A8AB1B8" w14:textId="4E50CA8F" w:rsidR="000F5156" w:rsidRDefault="00193883" w:rsidP="000F5156">
      <w:pPr>
        <w:pStyle w:val="Heading1"/>
      </w:pPr>
      <w:r>
        <w:rPr>
          <w:rFonts w:cs="Times New Roman"/>
        </w:rPr>
        <w:t xml:space="preserve">Supplementary Videos </w:t>
      </w:r>
      <w:r w:rsidR="000F5156">
        <w:t>1-2</w:t>
      </w:r>
    </w:p>
    <w:p w14:paraId="42626F5A" w14:textId="05E73005" w:rsidR="005D1C17" w:rsidRPr="007C2180" w:rsidRDefault="000F5156">
      <w:pPr>
        <w:rPr>
          <w:rFonts w:cs="Times New Roman"/>
        </w:rPr>
      </w:pPr>
      <w:r>
        <w:rPr>
          <w:rFonts w:cs="Times New Roman"/>
        </w:rPr>
        <w:t>Included in online supplementary data are files “</w:t>
      </w:r>
      <w:r w:rsidR="00FB7461">
        <w:t>Online Supplemental Video 1.mp4</w:t>
      </w:r>
      <w:r>
        <w:rPr>
          <w:rFonts w:cs="Times New Roman"/>
        </w:rPr>
        <w:t>” and “</w:t>
      </w:r>
      <w:r w:rsidR="00FB7461">
        <w:t>Online Supplemental Video 2.mp4</w:t>
      </w:r>
      <w:r>
        <w:rPr>
          <w:rFonts w:cs="Times New Roman"/>
        </w:rPr>
        <w:t xml:space="preserve">”, both of which are in vivo </w:t>
      </w:r>
      <w:proofErr w:type="spellStart"/>
      <w:r>
        <w:rPr>
          <w:rFonts w:cs="Times New Roman"/>
        </w:rPr>
        <w:t>timelapse</w:t>
      </w:r>
      <w:proofErr w:type="spellEnd"/>
      <w:r>
        <w:rPr>
          <w:rFonts w:cs="Times New Roman"/>
        </w:rPr>
        <w:t xml:space="preserve"> movies of the corneal limbal vessel network 2 days post silver nitrate cornea burn. Images were acquired on a Nikon scanning CLSM with a 10X/0.3 objective. </w:t>
      </w:r>
      <w:r w:rsidR="007F2210">
        <w:rPr>
          <w:rFonts w:cs="Times New Roman"/>
        </w:rPr>
        <w:t>Pericytes</w:t>
      </w:r>
      <w:r>
        <w:rPr>
          <w:rFonts w:cs="Times New Roman"/>
        </w:rPr>
        <w:t xml:space="preserve"> were </w:t>
      </w:r>
      <w:r w:rsidR="007F2210">
        <w:rPr>
          <w:rFonts w:cs="Times New Roman"/>
        </w:rPr>
        <w:t>endogenously</w:t>
      </w:r>
      <w:r>
        <w:rPr>
          <w:rFonts w:cs="Times New Roman"/>
        </w:rPr>
        <w:t xml:space="preserve"> labeled with </w:t>
      </w:r>
      <w:proofErr w:type="spellStart"/>
      <w:r>
        <w:rPr>
          <w:rFonts w:cs="Times New Roman"/>
        </w:rPr>
        <w:t>tdTomato</w:t>
      </w:r>
      <w:proofErr w:type="spellEnd"/>
      <w:r>
        <w:rPr>
          <w:rFonts w:cs="Times New Roman"/>
        </w:rPr>
        <w:t xml:space="preserve"> in the Myh11-RFP mouse model, and vessels were labeled with perfused IB4 lectin. Each frame of the videos are approximately 2.5 minutes apart in time.</w:t>
      </w:r>
      <w:r w:rsidR="00230E5A">
        <w:rPr>
          <w:rFonts w:cs="Times New Roman"/>
        </w:rPr>
        <w:t xml:space="preserve"> White arrows annotate migrating pericytes.</w:t>
      </w:r>
    </w:p>
    <w:sectPr w:rsidR="005D1C17" w:rsidRPr="007C2180" w:rsidSect="00AD605F">
      <w:pgSz w:w="12240" w:h="15840"/>
      <w:pgMar w:top="1440" w:right="1080" w:bottom="144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38AB"/>
    <w:rsid w:val="00007C65"/>
    <w:rsid w:val="00013309"/>
    <w:rsid w:val="000152AE"/>
    <w:rsid w:val="00015B5A"/>
    <w:rsid w:val="0002024F"/>
    <w:rsid w:val="00020BB2"/>
    <w:rsid w:val="00021443"/>
    <w:rsid w:val="000225E3"/>
    <w:rsid w:val="00030907"/>
    <w:rsid w:val="000357CF"/>
    <w:rsid w:val="000369F9"/>
    <w:rsid w:val="0004243B"/>
    <w:rsid w:val="00047752"/>
    <w:rsid w:val="000700B5"/>
    <w:rsid w:val="0007313B"/>
    <w:rsid w:val="0007539D"/>
    <w:rsid w:val="00097227"/>
    <w:rsid w:val="00097A86"/>
    <w:rsid w:val="000A4524"/>
    <w:rsid w:val="000A624A"/>
    <w:rsid w:val="000B23F2"/>
    <w:rsid w:val="000B426B"/>
    <w:rsid w:val="000D5BB4"/>
    <w:rsid w:val="000E4A69"/>
    <w:rsid w:val="000E4BF8"/>
    <w:rsid w:val="000E6770"/>
    <w:rsid w:val="000E687A"/>
    <w:rsid w:val="000E6EAC"/>
    <w:rsid w:val="000F13FA"/>
    <w:rsid w:val="000F5156"/>
    <w:rsid w:val="000F6BB1"/>
    <w:rsid w:val="000F7DB0"/>
    <w:rsid w:val="0010282C"/>
    <w:rsid w:val="00121852"/>
    <w:rsid w:val="001314BB"/>
    <w:rsid w:val="0013492F"/>
    <w:rsid w:val="00141A28"/>
    <w:rsid w:val="0014475A"/>
    <w:rsid w:val="00151BE6"/>
    <w:rsid w:val="00154B9C"/>
    <w:rsid w:val="00155A30"/>
    <w:rsid w:val="00161675"/>
    <w:rsid w:val="0016429E"/>
    <w:rsid w:val="00164E8D"/>
    <w:rsid w:val="00165DCF"/>
    <w:rsid w:val="00173E23"/>
    <w:rsid w:val="0017402E"/>
    <w:rsid w:val="001752FD"/>
    <w:rsid w:val="00177680"/>
    <w:rsid w:val="001827B9"/>
    <w:rsid w:val="001866B0"/>
    <w:rsid w:val="00187AF2"/>
    <w:rsid w:val="0019150D"/>
    <w:rsid w:val="001919A3"/>
    <w:rsid w:val="001921F4"/>
    <w:rsid w:val="00193883"/>
    <w:rsid w:val="001A3E14"/>
    <w:rsid w:val="001A7CB4"/>
    <w:rsid w:val="001B0F79"/>
    <w:rsid w:val="001B638B"/>
    <w:rsid w:val="001B6FFB"/>
    <w:rsid w:val="001C125E"/>
    <w:rsid w:val="001C748A"/>
    <w:rsid w:val="001C7E88"/>
    <w:rsid w:val="001D0F38"/>
    <w:rsid w:val="001E151D"/>
    <w:rsid w:val="001F2842"/>
    <w:rsid w:val="001F36AA"/>
    <w:rsid w:val="00205C09"/>
    <w:rsid w:val="00215701"/>
    <w:rsid w:val="00220AE3"/>
    <w:rsid w:val="002226FB"/>
    <w:rsid w:val="00223DC9"/>
    <w:rsid w:val="00224AD1"/>
    <w:rsid w:val="00227785"/>
    <w:rsid w:val="00230E5A"/>
    <w:rsid w:val="002460FE"/>
    <w:rsid w:val="0025116B"/>
    <w:rsid w:val="002548C4"/>
    <w:rsid w:val="00262F03"/>
    <w:rsid w:val="00263305"/>
    <w:rsid w:val="00263FE6"/>
    <w:rsid w:val="00265138"/>
    <w:rsid w:val="0026706E"/>
    <w:rsid w:val="00272699"/>
    <w:rsid w:val="002735BB"/>
    <w:rsid w:val="002751A3"/>
    <w:rsid w:val="002756F5"/>
    <w:rsid w:val="00276A70"/>
    <w:rsid w:val="00281F71"/>
    <w:rsid w:val="002822E1"/>
    <w:rsid w:val="00282B11"/>
    <w:rsid w:val="00283E4E"/>
    <w:rsid w:val="00286735"/>
    <w:rsid w:val="00286C7D"/>
    <w:rsid w:val="002920A8"/>
    <w:rsid w:val="00296C37"/>
    <w:rsid w:val="002972FB"/>
    <w:rsid w:val="002A07E7"/>
    <w:rsid w:val="002A15DB"/>
    <w:rsid w:val="002A2733"/>
    <w:rsid w:val="002A6D5F"/>
    <w:rsid w:val="002B334D"/>
    <w:rsid w:val="002B3DE1"/>
    <w:rsid w:val="002C0F24"/>
    <w:rsid w:val="002D2DCF"/>
    <w:rsid w:val="002D3A64"/>
    <w:rsid w:val="002E154D"/>
    <w:rsid w:val="002F026B"/>
    <w:rsid w:val="002F0DD0"/>
    <w:rsid w:val="002F5D10"/>
    <w:rsid w:val="00301B6C"/>
    <w:rsid w:val="00302DA6"/>
    <w:rsid w:val="003052E6"/>
    <w:rsid w:val="00322A96"/>
    <w:rsid w:val="003256AF"/>
    <w:rsid w:val="00326141"/>
    <w:rsid w:val="00333D3D"/>
    <w:rsid w:val="00361234"/>
    <w:rsid w:val="003629DA"/>
    <w:rsid w:val="003634CB"/>
    <w:rsid w:val="0036556D"/>
    <w:rsid w:val="00367EBB"/>
    <w:rsid w:val="003714B4"/>
    <w:rsid w:val="003728C4"/>
    <w:rsid w:val="00381B76"/>
    <w:rsid w:val="003858B9"/>
    <w:rsid w:val="00386A30"/>
    <w:rsid w:val="00391040"/>
    <w:rsid w:val="003A089F"/>
    <w:rsid w:val="003A1D7F"/>
    <w:rsid w:val="003A2AA9"/>
    <w:rsid w:val="003A5386"/>
    <w:rsid w:val="003A67A2"/>
    <w:rsid w:val="003B2EB7"/>
    <w:rsid w:val="003B3417"/>
    <w:rsid w:val="003B4098"/>
    <w:rsid w:val="003B4E13"/>
    <w:rsid w:val="003B77DD"/>
    <w:rsid w:val="003C422D"/>
    <w:rsid w:val="003C4368"/>
    <w:rsid w:val="003D1550"/>
    <w:rsid w:val="003D5E4D"/>
    <w:rsid w:val="003D623D"/>
    <w:rsid w:val="003E2C89"/>
    <w:rsid w:val="003F1380"/>
    <w:rsid w:val="003F75B7"/>
    <w:rsid w:val="003F7B6B"/>
    <w:rsid w:val="00410241"/>
    <w:rsid w:val="004129A5"/>
    <w:rsid w:val="0042187B"/>
    <w:rsid w:val="00427083"/>
    <w:rsid w:val="00442E94"/>
    <w:rsid w:val="00451357"/>
    <w:rsid w:val="00453DF0"/>
    <w:rsid w:val="00456373"/>
    <w:rsid w:val="00457B73"/>
    <w:rsid w:val="00457E11"/>
    <w:rsid w:val="00463E2B"/>
    <w:rsid w:val="00471EC9"/>
    <w:rsid w:val="0047786E"/>
    <w:rsid w:val="00486ED3"/>
    <w:rsid w:val="00492FEC"/>
    <w:rsid w:val="004A2580"/>
    <w:rsid w:val="004A32C9"/>
    <w:rsid w:val="004A5590"/>
    <w:rsid w:val="004A62D9"/>
    <w:rsid w:val="004B652B"/>
    <w:rsid w:val="004B6622"/>
    <w:rsid w:val="004C0176"/>
    <w:rsid w:val="004C37E4"/>
    <w:rsid w:val="004C4A21"/>
    <w:rsid w:val="004C55FE"/>
    <w:rsid w:val="004C74D5"/>
    <w:rsid w:val="004C7B7B"/>
    <w:rsid w:val="004D2BA2"/>
    <w:rsid w:val="004D5AC4"/>
    <w:rsid w:val="004E79CF"/>
    <w:rsid w:val="004F5E30"/>
    <w:rsid w:val="005310B4"/>
    <w:rsid w:val="00532D6A"/>
    <w:rsid w:val="00545FF4"/>
    <w:rsid w:val="005522E9"/>
    <w:rsid w:val="00555704"/>
    <w:rsid w:val="0057138B"/>
    <w:rsid w:val="005724B5"/>
    <w:rsid w:val="005742BA"/>
    <w:rsid w:val="00587A11"/>
    <w:rsid w:val="005940E9"/>
    <w:rsid w:val="005A2A15"/>
    <w:rsid w:val="005A7A58"/>
    <w:rsid w:val="005C3983"/>
    <w:rsid w:val="005C3E4C"/>
    <w:rsid w:val="005C4C36"/>
    <w:rsid w:val="005C6199"/>
    <w:rsid w:val="005D1C17"/>
    <w:rsid w:val="005D1FD7"/>
    <w:rsid w:val="005D3CD8"/>
    <w:rsid w:val="005D785D"/>
    <w:rsid w:val="005E220C"/>
    <w:rsid w:val="00601079"/>
    <w:rsid w:val="0061016C"/>
    <w:rsid w:val="006108F2"/>
    <w:rsid w:val="00610BC8"/>
    <w:rsid w:val="00610BDB"/>
    <w:rsid w:val="00610BF5"/>
    <w:rsid w:val="00622E2A"/>
    <w:rsid w:val="00623D0C"/>
    <w:rsid w:val="00623F19"/>
    <w:rsid w:val="00625C33"/>
    <w:rsid w:val="00631873"/>
    <w:rsid w:val="00631A90"/>
    <w:rsid w:val="00644B38"/>
    <w:rsid w:val="00645A11"/>
    <w:rsid w:val="00651FA8"/>
    <w:rsid w:val="0067115E"/>
    <w:rsid w:val="00673CC6"/>
    <w:rsid w:val="0068371A"/>
    <w:rsid w:val="00685292"/>
    <w:rsid w:val="00686877"/>
    <w:rsid w:val="00691BAE"/>
    <w:rsid w:val="006938AB"/>
    <w:rsid w:val="00696F87"/>
    <w:rsid w:val="006B404B"/>
    <w:rsid w:val="006C01BF"/>
    <w:rsid w:val="006C1521"/>
    <w:rsid w:val="006C5FAF"/>
    <w:rsid w:val="006D581F"/>
    <w:rsid w:val="006D6441"/>
    <w:rsid w:val="006D7656"/>
    <w:rsid w:val="006D7F1A"/>
    <w:rsid w:val="006D7F81"/>
    <w:rsid w:val="006E16E5"/>
    <w:rsid w:val="006E284D"/>
    <w:rsid w:val="006E53F0"/>
    <w:rsid w:val="006F2B88"/>
    <w:rsid w:val="006F6B6D"/>
    <w:rsid w:val="00707579"/>
    <w:rsid w:val="00710AB7"/>
    <w:rsid w:val="007165B6"/>
    <w:rsid w:val="00716918"/>
    <w:rsid w:val="007172AD"/>
    <w:rsid w:val="0072097B"/>
    <w:rsid w:val="007210E8"/>
    <w:rsid w:val="00722699"/>
    <w:rsid w:val="0073069C"/>
    <w:rsid w:val="00733B04"/>
    <w:rsid w:val="00733EC4"/>
    <w:rsid w:val="00752DF4"/>
    <w:rsid w:val="00753A5C"/>
    <w:rsid w:val="00755A09"/>
    <w:rsid w:val="00766B25"/>
    <w:rsid w:val="00767198"/>
    <w:rsid w:val="007837F7"/>
    <w:rsid w:val="00787E02"/>
    <w:rsid w:val="007901B3"/>
    <w:rsid w:val="007908B2"/>
    <w:rsid w:val="007916C8"/>
    <w:rsid w:val="007945A8"/>
    <w:rsid w:val="00795F1C"/>
    <w:rsid w:val="007A0289"/>
    <w:rsid w:val="007A13AE"/>
    <w:rsid w:val="007B447F"/>
    <w:rsid w:val="007B6038"/>
    <w:rsid w:val="007B671F"/>
    <w:rsid w:val="007C13CB"/>
    <w:rsid w:val="007C16DF"/>
    <w:rsid w:val="007C2180"/>
    <w:rsid w:val="007D57D7"/>
    <w:rsid w:val="007D59FE"/>
    <w:rsid w:val="007D75EF"/>
    <w:rsid w:val="007E1C14"/>
    <w:rsid w:val="007E54CB"/>
    <w:rsid w:val="007F1CA6"/>
    <w:rsid w:val="007F2210"/>
    <w:rsid w:val="007F6B30"/>
    <w:rsid w:val="00812D1B"/>
    <w:rsid w:val="00817B66"/>
    <w:rsid w:val="00833912"/>
    <w:rsid w:val="00836C49"/>
    <w:rsid w:val="00837701"/>
    <w:rsid w:val="008412EE"/>
    <w:rsid w:val="008415EE"/>
    <w:rsid w:val="00844573"/>
    <w:rsid w:val="008464EE"/>
    <w:rsid w:val="00846D45"/>
    <w:rsid w:val="00851CB5"/>
    <w:rsid w:val="008524D6"/>
    <w:rsid w:val="00853384"/>
    <w:rsid w:val="00853C19"/>
    <w:rsid w:val="00855733"/>
    <w:rsid w:val="008679BE"/>
    <w:rsid w:val="008720CC"/>
    <w:rsid w:val="00873BC9"/>
    <w:rsid w:val="008751B5"/>
    <w:rsid w:val="00887882"/>
    <w:rsid w:val="00892861"/>
    <w:rsid w:val="0089360F"/>
    <w:rsid w:val="00895477"/>
    <w:rsid w:val="008B0D70"/>
    <w:rsid w:val="008B7AFC"/>
    <w:rsid w:val="008B7B97"/>
    <w:rsid w:val="008C098D"/>
    <w:rsid w:val="008D4D69"/>
    <w:rsid w:val="008F490D"/>
    <w:rsid w:val="00900155"/>
    <w:rsid w:val="009026FF"/>
    <w:rsid w:val="00903068"/>
    <w:rsid w:val="009111D3"/>
    <w:rsid w:val="00917BB7"/>
    <w:rsid w:val="009238A7"/>
    <w:rsid w:val="00926072"/>
    <w:rsid w:val="00926DBB"/>
    <w:rsid w:val="009340F3"/>
    <w:rsid w:val="00943151"/>
    <w:rsid w:val="00952829"/>
    <w:rsid w:val="00976B24"/>
    <w:rsid w:val="009846C7"/>
    <w:rsid w:val="009917A2"/>
    <w:rsid w:val="00997E34"/>
    <w:rsid w:val="009A0D21"/>
    <w:rsid w:val="009A13E5"/>
    <w:rsid w:val="009B2E56"/>
    <w:rsid w:val="009B3EDF"/>
    <w:rsid w:val="009B42BF"/>
    <w:rsid w:val="009B53A8"/>
    <w:rsid w:val="009B7735"/>
    <w:rsid w:val="009C1304"/>
    <w:rsid w:val="009D74CE"/>
    <w:rsid w:val="009E65A4"/>
    <w:rsid w:val="009E7C10"/>
    <w:rsid w:val="009F53A2"/>
    <w:rsid w:val="009F57D6"/>
    <w:rsid w:val="00A04488"/>
    <w:rsid w:val="00A055C0"/>
    <w:rsid w:val="00A06E85"/>
    <w:rsid w:val="00A11F36"/>
    <w:rsid w:val="00A159C8"/>
    <w:rsid w:val="00A21CC2"/>
    <w:rsid w:val="00A25C93"/>
    <w:rsid w:val="00A32E9E"/>
    <w:rsid w:val="00A33CC1"/>
    <w:rsid w:val="00A3468D"/>
    <w:rsid w:val="00A370F0"/>
    <w:rsid w:val="00A406B2"/>
    <w:rsid w:val="00A40A5B"/>
    <w:rsid w:val="00A450BE"/>
    <w:rsid w:val="00A465B7"/>
    <w:rsid w:val="00A510CE"/>
    <w:rsid w:val="00A52504"/>
    <w:rsid w:val="00A5461F"/>
    <w:rsid w:val="00A61479"/>
    <w:rsid w:val="00A66887"/>
    <w:rsid w:val="00A67810"/>
    <w:rsid w:val="00A73CAB"/>
    <w:rsid w:val="00A82E20"/>
    <w:rsid w:val="00A852A3"/>
    <w:rsid w:val="00A86D71"/>
    <w:rsid w:val="00A93964"/>
    <w:rsid w:val="00A9424B"/>
    <w:rsid w:val="00A94F3F"/>
    <w:rsid w:val="00A976A6"/>
    <w:rsid w:val="00AA208E"/>
    <w:rsid w:val="00AA5F9D"/>
    <w:rsid w:val="00AB108D"/>
    <w:rsid w:val="00AB308A"/>
    <w:rsid w:val="00AB4832"/>
    <w:rsid w:val="00AD3115"/>
    <w:rsid w:val="00AD605F"/>
    <w:rsid w:val="00AD73C8"/>
    <w:rsid w:val="00AE6BE8"/>
    <w:rsid w:val="00AF4A5B"/>
    <w:rsid w:val="00AF67D4"/>
    <w:rsid w:val="00B02FC6"/>
    <w:rsid w:val="00B07D6E"/>
    <w:rsid w:val="00B117EC"/>
    <w:rsid w:val="00B12619"/>
    <w:rsid w:val="00B12D88"/>
    <w:rsid w:val="00B138A7"/>
    <w:rsid w:val="00B17EBA"/>
    <w:rsid w:val="00B22A0B"/>
    <w:rsid w:val="00B24F66"/>
    <w:rsid w:val="00B335CA"/>
    <w:rsid w:val="00B347B6"/>
    <w:rsid w:val="00B37A0D"/>
    <w:rsid w:val="00B430EF"/>
    <w:rsid w:val="00B46563"/>
    <w:rsid w:val="00B503CD"/>
    <w:rsid w:val="00B553CD"/>
    <w:rsid w:val="00B55CF2"/>
    <w:rsid w:val="00B57AA2"/>
    <w:rsid w:val="00B6058A"/>
    <w:rsid w:val="00B63627"/>
    <w:rsid w:val="00B66155"/>
    <w:rsid w:val="00B759A3"/>
    <w:rsid w:val="00B75B8E"/>
    <w:rsid w:val="00B778FA"/>
    <w:rsid w:val="00B82091"/>
    <w:rsid w:val="00B8614A"/>
    <w:rsid w:val="00B91224"/>
    <w:rsid w:val="00B93FB1"/>
    <w:rsid w:val="00B95861"/>
    <w:rsid w:val="00B97E8A"/>
    <w:rsid w:val="00BA4ECB"/>
    <w:rsid w:val="00BA74A2"/>
    <w:rsid w:val="00BB3EDF"/>
    <w:rsid w:val="00BB7BD5"/>
    <w:rsid w:val="00BD27D7"/>
    <w:rsid w:val="00BD4165"/>
    <w:rsid w:val="00BD719A"/>
    <w:rsid w:val="00BD7D14"/>
    <w:rsid w:val="00BF1A11"/>
    <w:rsid w:val="00BF260A"/>
    <w:rsid w:val="00BF264F"/>
    <w:rsid w:val="00C04F4F"/>
    <w:rsid w:val="00C07EB8"/>
    <w:rsid w:val="00C1486D"/>
    <w:rsid w:val="00C270CB"/>
    <w:rsid w:val="00C464BF"/>
    <w:rsid w:val="00C53D8F"/>
    <w:rsid w:val="00C563DD"/>
    <w:rsid w:val="00C571C4"/>
    <w:rsid w:val="00C6014A"/>
    <w:rsid w:val="00C60594"/>
    <w:rsid w:val="00C65124"/>
    <w:rsid w:val="00C67A45"/>
    <w:rsid w:val="00C72108"/>
    <w:rsid w:val="00C82A24"/>
    <w:rsid w:val="00C85088"/>
    <w:rsid w:val="00C87033"/>
    <w:rsid w:val="00C95E4B"/>
    <w:rsid w:val="00CA1BB2"/>
    <w:rsid w:val="00CB45D9"/>
    <w:rsid w:val="00CB5B9B"/>
    <w:rsid w:val="00CC47E1"/>
    <w:rsid w:val="00CC70C4"/>
    <w:rsid w:val="00CD778A"/>
    <w:rsid w:val="00CE3EAD"/>
    <w:rsid w:val="00CF532E"/>
    <w:rsid w:val="00CF6E4B"/>
    <w:rsid w:val="00CF7D0E"/>
    <w:rsid w:val="00D133C2"/>
    <w:rsid w:val="00D21222"/>
    <w:rsid w:val="00D227E4"/>
    <w:rsid w:val="00D2345A"/>
    <w:rsid w:val="00D32A9E"/>
    <w:rsid w:val="00D44181"/>
    <w:rsid w:val="00D45FE9"/>
    <w:rsid w:val="00D46F46"/>
    <w:rsid w:val="00D50CE1"/>
    <w:rsid w:val="00D50F31"/>
    <w:rsid w:val="00D60674"/>
    <w:rsid w:val="00D620BC"/>
    <w:rsid w:val="00D6402C"/>
    <w:rsid w:val="00D64382"/>
    <w:rsid w:val="00D67304"/>
    <w:rsid w:val="00D75B79"/>
    <w:rsid w:val="00D812FE"/>
    <w:rsid w:val="00DA630A"/>
    <w:rsid w:val="00DA777A"/>
    <w:rsid w:val="00DA798F"/>
    <w:rsid w:val="00DA7E74"/>
    <w:rsid w:val="00DB2344"/>
    <w:rsid w:val="00DB2A74"/>
    <w:rsid w:val="00DC02F1"/>
    <w:rsid w:val="00DC3C74"/>
    <w:rsid w:val="00DC4421"/>
    <w:rsid w:val="00DD094D"/>
    <w:rsid w:val="00DE4C47"/>
    <w:rsid w:val="00DE58F1"/>
    <w:rsid w:val="00DF3119"/>
    <w:rsid w:val="00DF689E"/>
    <w:rsid w:val="00E04CFC"/>
    <w:rsid w:val="00E076E7"/>
    <w:rsid w:val="00E077E0"/>
    <w:rsid w:val="00E15E42"/>
    <w:rsid w:val="00E16900"/>
    <w:rsid w:val="00E21333"/>
    <w:rsid w:val="00E31266"/>
    <w:rsid w:val="00E3172F"/>
    <w:rsid w:val="00E32EFD"/>
    <w:rsid w:val="00E33FBC"/>
    <w:rsid w:val="00E33FF5"/>
    <w:rsid w:val="00E4121B"/>
    <w:rsid w:val="00E56579"/>
    <w:rsid w:val="00E56915"/>
    <w:rsid w:val="00E5694A"/>
    <w:rsid w:val="00E66410"/>
    <w:rsid w:val="00E75571"/>
    <w:rsid w:val="00E7699B"/>
    <w:rsid w:val="00E80B30"/>
    <w:rsid w:val="00E97576"/>
    <w:rsid w:val="00E97AD9"/>
    <w:rsid w:val="00EA0C60"/>
    <w:rsid w:val="00EA3457"/>
    <w:rsid w:val="00EA7923"/>
    <w:rsid w:val="00EB06EA"/>
    <w:rsid w:val="00EB07DC"/>
    <w:rsid w:val="00EB1486"/>
    <w:rsid w:val="00EC547D"/>
    <w:rsid w:val="00ED0EE0"/>
    <w:rsid w:val="00ED1201"/>
    <w:rsid w:val="00ED194B"/>
    <w:rsid w:val="00ED2FCE"/>
    <w:rsid w:val="00ED5BC0"/>
    <w:rsid w:val="00EE758C"/>
    <w:rsid w:val="00EF453D"/>
    <w:rsid w:val="00EF5CBF"/>
    <w:rsid w:val="00EF7C3F"/>
    <w:rsid w:val="00F0755D"/>
    <w:rsid w:val="00F15678"/>
    <w:rsid w:val="00F2179E"/>
    <w:rsid w:val="00F26375"/>
    <w:rsid w:val="00F37B03"/>
    <w:rsid w:val="00F53D30"/>
    <w:rsid w:val="00F6299B"/>
    <w:rsid w:val="00F65127"/>
    <w:rsid w:val="00F66E89"/>
    <w:rsid w:val="00F71592"/>
    <w:rsid w:val="00F772A5"/>
    <w:rsid w:val="00F805F7"/>
    <w:rsid w:val="00F8238F"/>
    <w:rsid w:val="00F8355C"/>
    <w:rsid w:val="00F85A7C"/>
    <w:rsid w:val="00F8720A"/>
    <w:rsid w:val="00F9193E"/>
    <w:rsid w:val="00FA1847"/>
    <w:rsid w:val="00FA452C"/>
    <w:rsid w:val="00FB6DF3"/>
    <w:rsid w:val="00FB7461"/>
    <w:rsid w:val="00FC2B52"/>
    <w:rsid w:val="00FC76DB"/>
    <w:rsid w:val="00FD0328"/>
    <w:rsid w:val="00FD0803"/>
    <w:rsid w:val="00FD57FD"/>
    <w:rsid w:val="00FE4824"/>
    <w:rsid w:val="00FF3D94"/>
    <w:rsid w:val="00FF4E22"/>
    <w:rsid w:val="00FF70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62768"/>
  <w14:defaultImageDpi w14:val="32767"/>
  <w15:chartTrackingRefBased/>
  <w15:docId w15:val="{72E0D372-C3F4-4CF1-A88B-8A9EAE712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2A96"/>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322A96"/>
    <w:pPr>
      <w:keepNext/>
      <w:keepLines/>
      <w:spacing w:before="360" w:after="120"/>
      <w:outlineLvl w:val="0"/>
    </w:pPr>
    <w:rPr>
      <w:rFonts w:eastAsiaTheme="majorEastAsia" w:cstheme="majorBidi"/>
      <w:sz w:val="32"/>
      <w:szCs w:val="32"/>
    </w:rPr>
  </w:style>
  <w:style w:type="paragraph" w:styleId="Heading2">
    <w:name w:val="heading 2"/>
    <w:basedOn w:val="Normal"/>
    <w:next w:val="Normal"/>
    <w:link w:val="Heading2Char"/>
    <w:uiPriority w:val="9"/>
    <w:unhideWhenUsed/>
    <w:qFormat/>
    <w:rsid w:val="00322A96"/>
    <w:pPr>
      <w:keepNext/>
      <w:keepLines/>
      <w:spacing w:before="200" w:after="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322A96"/>
    <w:pPr>
      <w:keepNext/>
      <w:keepLines/>
      <w:spacing w:before="120" w:after="0"/>
      <w:outlineLvl w:val="2"/>
    </w:pPr>
    <w:rPr>
      <w:rFonts w:eastAsiaTheme="majorEastAsia" w:cstheme="majorBidi"/>
      <w:b/>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A96"/>
    <w:rPr>
      <w:rFonts w:ascii="Times New Roman" w:eastAsiaTheme="majorEastAsia" w:hAnsi="Times New Roman" w:cstheme="majorBidi"/>
      <w:sz w:val="32"/>
      <w:szCs w:val="32"/>
    </w:rPr>
  </w:style>
  <w:style w:type="character" w:styleId="Hyperlink">
    <w:name w:val="Hyperlink"/>
    <w:basedOn w:val="DefaultParagraphFont"/>
    <w:uiPriority w:val="99"/>
    <w:unhideWhenUsed/>
    <w:rsid w:val="00322A96"/>
    <w:rPr>
      <w:color w:val="0563C1" w:themeColor="hyperlink"/>
      <w:u w:val="single"/>
    </w:rPr>
  </w:style>
  <w:style w:type="character" w:styleId="UnresolvedMention">
    <w:name w:val="Unresolved Mention"/>
    <w:basedOn w:val="DefaultParagraphFont"/>
    <w:uiPriority w:val="99"/>
    <w:semiHidden/>
    <w:unhideWhenUsed/>
    <w:rsid w:val="00322A96"/>
    <w:rPr>
      <w:color w:val="605E5C"/>
      <w:shd w:val="clear" w:color="auto" w:fill="E1DFDD"/>
    </w:rPr>
  </w:style>
  <w:style w:type="character" w:customStyle="1" w:styleId="Heading2Char">
    <w:name w:val="Heading 2 Char"/>
    <w:basedOn w:val="DefaultParagraphFont"/>
    <w:link w:val="Heading2"/>
    <w:uiPriority w:val="9"/>
    <w:rsid w:val="00322A96"/>
    <w:rPr>
      <w:rFonts w:ascii="Times New Roman" w:eastAsiaTheme="majorEastAsia" w:hAnsi="Times New Roman" w:cstheme="majorBidi"/>
      <w:b/>
      <w:sz w:val="24"/>
      <w:szCs w:val="26"/>
    </w:rPr>
  </w:style>
  <w:style w:type="character" w:customStyle="1" w:styleId="Heading3Char">
    <w:name w:val="Heading 3 Char"/>
    <w:basedOn w:val="DefaultParagraphFont"/>
    <w:link w:val="Heading3"/>
    <w:uiPriority w:val="9"/>
    <w:rsid w:val="00322A96"/>
    <w:rPr>
      <w:rFonts w:ascii="Times New Roman" w:eastAsiaTheme="majorEastAsia" w:hAnsi="Times New Roman" w:cstheme="majorBidi"/>
      <w:b/>
      <w:i/>
      <w:sz w:val="24"/>
      <w:szCs w:val="24"/>
    </w:rPr>
  </w:style>
  <w:style w:type="paragraph" w:styleId="ListParagraph">
    <w:name w:val="List Paragraph"/>
    <w:basedOn w:val="Normal"/>
    <w:uiPriority w:val="34"/>
    <w:qFormat/>
    <w:rsid w:val="00322A96"/>
    <w:pPr>
      <w:ind w:left="720"/>
      <w:contextualSpacing/>
    </w:pPr>
  </w:style>
  <w:style w:type="paragraph" w:styleId="NoSpacing">
    <w:name w:val="No Spacing"/>
    <w:uiPriority w:val="1"/>
    <w:qFormat/>
    <w:rsid w:val="00322A96"/>
    <w:pPr>
      <w:spacing w:after="0" w:line="240" w:lineRule="auto"/>
    </w:pPr>
    <w:rPr>
      <w:rFonts w:ascii="Times New Roman" w:hAnsi="Times New Roman"/>
      <w:sz w:val="24"/>
    </w:rPr>
  </w:style>
  <w:style w:type="paragraph" w:styleId="NormalWeb">
    <w:name w:val="Normal (Web)"/>
    <w:basedOn w:val="Normal"/>
    <w:unhideWhenUsed/>
    <w:rsid w:val="00322A96"/>
    <w:pPr>
      <w:spacing w:before="100" w:beforeAutospacing="1" w:after="100" w:afterAutospacing="1" w:line="240" w:lineRule="auto"/>
    </w:pPr>
    <w:rPr>
      <w:rFonts w:eastAsia="Times New Roman" w:cs="Times New Roman"/>
      <w:szCs w:val="24"/>
    </w:rPr>
  </w:style>
  <w:style w:type="table" w:styleId="TableGrid">
    <w:name w:val="Table Grid"/>
    <w:basedOn w:val="TableNormal"/>
    <w:uiPriority w:val="39"/>
    <w:rsid w:val="00322A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link w:val="TableTextChar"/>
    <w:qFormat/>
    <w:rsid w:val="00322A96"/>
    <w:pPr>
      <w:spacing w:after="0" w:line="240" w:lineRule="auto"/>
    </w:pPr>
    <w:rPr>
      <w:sz w:val="16"/>
    </w:rPr>
  </w:style>
  <w:style w:type="character" w:customStyle="1" w:styleId="TableTextChar">
    <w:name w:val="Table Text Char"/>
    <w:basedOn w:val="DefaultParagraphFont"/>
    <w:link w:val="TableText"/>
    <w:rsid w:val="00322A96"/>
    <w:rPr>
      <w:rFonts w:ascii="Times New Roman" w:hAnsi="Times New Roman"/>
      <w:sz w:val="16"/>
    </w:rPr>
  </w:style>
  <w:style w:type="character" w:customStyle="1" w:styleId="mo">
    <w:name w:val="mo"/>
    <w:basedOn w:val="DefaultParagraphFont"/>
    <w:rsid w:val="00013309"/>
  </w:style>
  <w:style w:type="paragraph" w:styleId="Bibliography">
    <w:name w:val="Bibliography"/>
    <w:basedOn w:val="Normal"/>
    <w:next w:val="Normal"/>
    <w:uiPriority w:val="37"/>
    <w:unhideWhenUsed/>
    <w:rsid w:val="00DD094D"/>
    <w:pPr>
      <w:tabs>
        <w:tab w:val="left" w:pos="264"/>
      </w:tabs>
      <w:spacing w:after="0"/>
      <w:ind w:left="264" w:hanging="264"/>
    </w:pPr>
  </w:style>
  <w:style w:type="paragraph" w:styleId="BalloonText">
    <w:name w:val="Balloon Text"/>
    <w:basedOn w:val="Normal"/>
    <w:link w:val="BalloonTextChar"/>
    <w:uiPriority w:val="99"/>
    <w:semiHidden/>
    <w:unhideWhenUsed/>
    <w:rsid w:val="00DA777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A777A"/>
    <w:rPr>
      <w:rFonts w:ascii="Segoe UI" w:hAnsi="Segoe UI" w:cs="Segoe UI"/>
      <w:sz w:val="18"/>
      <w:szCs w:val="18"/>
    </w:rPr>
  </w:style>
  <w:style w:type="paragraph" w:styleId="Title">
    <w:name w:val="Title"/>
    <w:basedOn w:val="Normal"/>
    <w:next w:val="Normal"/>
    <w:link w:val="TitleChar"/>
    <w:uiPriority w:val="10"/>
    <w:qFormat/>
    <w:rsid w:val="00AF4A5B"/>
    <w:pPr>
      <w:widowControl w:val="0"/>
      <w:spacing w:after="0" w:line="240" w:lineRule="auto"/>
      <w:contextualSpacing/>
      <w:jc w:val="center"/>
    </w:pPr>
    <w:rPr>
      <w:rFonts w:eastAsiaTheme="majorEastAsia" w:cstheme="majorBidi"/>
      <w:b/>
      <w:kern w:val="28"/>
      <w:sz w:val="28"/>
      <w:szCs w:val="56"/>
    </w:rPr>
  </w:style>
  <w:style w:type="character" w:customStyle="1" w:styleId="TitleChar">
    <w:name w:val="Title Char"/>
    <w:basedOn w:val="DefaultParagraphFont"/>
    <w:link w:val="Title"/>
    <w:uiPriority w:val="10"/>
    <w:rsid w:val="00AF4A5B"/>
    <w:rPr>
      <w:rFonts w:ascii="Times New Roman" w:eastAsiaTheme="majorEastAsia" w:hAnsi="Times New Roman" w:cstheme="majorBidi"/>
      <w:b/>
      <w:kern w:val="28"/>
      <w:sz w:val="28"/>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467757">
      <w:bodyDiv w:val="1"/>
      <w:marLeft w:val="0"/>
      <w:marRight w:val="0"/>
      <w:marTop w:val="0"/>
      <w:marBottom w:val="0"/>
      <w:divBdr>
        <w:top w:val="none" w:sz="0" w:space="0" w:color="auto"/>
        <w:left w:val="none" w:sz="0" w:space="0" w:color="auto"/>
        <w:bottom w:val="none" w:sz="0" w:space="0" w:color="auto"/>
        <w:right w:val="none" w:sz="0" w:space="0" w:color="auto"/>
      </w:divBdr>
    </w:div>
    <w:div w:id="1677805111">
      <w:bodyDiv w:val="1"/>
      <w:marLeft w:val="0"/>
      <w:marRight w:val="0"/>
      <w:marTop w:val="0"/>
      <w:marBottom w:val="0"/>
      <w:divBdr>
        <w:top w:val="none" w:sz="0" w:space="0" w:color="auto"/>
        <w:left w:val="none" w:sz="0" w:space="0" w:color="auto"/>
        <w:bottom w:val="none" w:sz="0" w:space="0" w:color="auto"/>
        <w:right w:val="none" w:sz="0" w:space="0" w:color="auto"/>
      </w:divBdr>
    </w:div>
    <w:div w:id="1745256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iff"/><Relationship Id="rId3" Type="http://schemas.openxmlformats.org/officeDocument/2006/relationships/webSettings" Target="webSettings.xml"/><Relationship Id="rId7" Type="http://schemas.openxmlformats.org/officeDocument/2006/relationships/image" Target="media/image4.tif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11" Type="http://schemas.openxmlformats.org/officeDocument/2006/relationships/fontTable" Target="fontTable.xml"/><Relationship Id="rId5" Type="http://schemas.openxmlformats.org/officeDocument/2006/relationships/image" Target="media/image2.tiff"/><Relationship Id="rId10" Type="http://schemas.openxmlformats.org/officeDocument/2006/relationships/image" Target="media/image7.TIF"/><Relationship Id="rId4" Type="http://schemas.openxmlformats.org/officeDocument/2006/relationships/image" Target="media/image1.tiff"/><Relationship Id="rId9" Type="http://schemas.openxmlformats.org/officeDocument/2006/relationships/image" Target="media/image6.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14453</TotalTime>
  <Pages>1</Pages>
  <Words>2555</Words>
  <Characters>14564</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bac</dc:creator>
  <cp:keywords/>
  <dc:description/>
  <cp:lastModifiedBy>Bruce Corliss</cp:lastModifiedBy>
  <cp:revision>305</cp:revision>
  <dcterms:created xsi:type="dcterms:W3CDTF">2018-04-22T13:36:00Z</dcterms:created>
  <dcterms:modified xsi:type="dcterms:W3CDTF">2020-05-06T13:13:00Z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zotero-version="5.0.55"&gt;&lt;session id="3SpikMMl"/&gt;&lt;style id="http://www.zotero.org/styles/nature" hasBibliography="1" bibliographyStyleHasBeenSet="1"/&gt;&lt;prefs&gt;&lt;pref name="fieldType" value="Field"/&gt;&lt;pref name="automaticJournalAbbreviati</vt:lpwstr>
  </property>
  <property fmtid="{D5CDD505-2E9C-101B-9397-08002B2CF9AE}" pid="3" name="ZOTERO_PREF_2">
    <vt:lpwstr>ons" value="true"/&gt;&lt;pref name="delayCitationUpdates" value="true"/&gt;&lt;/prefs&gt;&lt;/data&gt;</vt:lpwstr>
  </property>
</Properties>
</file>